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76" w:lineRule="exact"/>
        <w:jc w:val="center"/>
        <w:rPr>
          <w:rFonts w:hint="eastAsia" w:ascii="黑体" w:hAnsi="黑体" w:eastAsia="黑体"/>
          <w:sz w:val="44"/>
          <w:szCs w:val="36"/>
        </w:rPr>
      </w:pPr>
      <w:r>
        <w:rPr>
          <w:rFonts w:hint="eastAsia" w:ascii="黑体" w:hAnsi="宋体" w:eastAsia="黑体" w:cs="Times New Roman"/>
          <w:b/>
          <w:bCs/>
          <w:sz w:val="44"/>
          <w:szCs w:val="44"/>
          <w:lang w:val="en-US" w:eastAsia="zh-CN"/>
        </w:rPr>
        <w:t>安义县发展和改革委员会</w:t>
      </w:r>
    </w:p>
    <w:p>
      <w:pPr>
        <w:widowControl/>
        <w:spacing w:line="576" w:lineRule="exact"/>
        <w:jc w:val="center"/>
        <w:rPr>
          <w:rFonts w:hint="eastAsia" w:ascii="黑体" w:hAnsi="宋体" w:eastAsia="黑体"/>
          <w:sz w:val="32"/>
          <w:szCs w:val="32"/>
        </w:rPr>
      </w:pPr>
      <w:r>
        <w:rPr>
          <w:rFonts w:hint="eastAsia" w:ascii="黑体" w:hAnsi="宋体" w:eastAsia="黑体"/>
          <w:b/>
          <w:bCs/>
          <w:sz w:val="44"/>
          <w:szCs w:val="44"/>
          <w:lang w:val="en-US" w:eastAsia="zh-CN"/>
        </w:rPr>
        <w:t>2022年度部门预算说明</w:t>
      </w:r>
    </w:p>
    <w:p>
      <w:pPr>
        <w:spacing w:line="540" w:lineRule="exact"/>
        <w:jc w:val="center"/>
        <w:rPr>
          <w:rFonts w:hint="eastAsia" w:ascii="黑体" w:eastAsia="黑体"/>
          <w:sz w:val="28"/>
          <w:szCs w:val="28"/>
        </w:rPr>
      </w:pPr>
      <w:r>
        <w:rPr>
          <w:rFonts w:hint="eastAsia" w:ascii="黑体" w:eastAsia="黑体"/>
          <w:sz w:val="28"/>
          <w:szCs w:val="28"/>
        </w:rPr>
        <w:t>目    录</w:t>
      </w:r>
    </w:p>
    <w:p>
      <w:pPr>
        <w:widowControl/>
        <w:spacing w:line="540" w:lineRule="exact"/>
        <w:ind w:firstLine="560" w:firstLineChars="200"/>
        <w:jc w:val="right"/>
        <w:rPr>
          <w:rFonts w:hint="eastAsia" w:ascii="仿宋_GB2312" w:eastAsia="仿宋_GB2312"/>
          <w:sz w:val="28"/>
          <w:szCs w:val="28"/>
        </w:rPr>
      </w:pPr>
    </w:p>
    <w:p>
      <w:pPr>
        <w:widowControl/>
        <w:spacing w:line="540" w:lineRule="exact"/>
        <w:ind w:firstLine="562" w:firstLineChars="200"/>
        <w:jc w:val="left"/>
        <w:rPr>
          <w:rFonts w:hint="eastAsia" w:ascii="黑体" w:hAnsi="黑体" w:eastAsia="黑体"/>
          <w:b/>
          <w:sz w:val="28"/>
          <w:szCs w:val="28"/>
        </w:rPr>
      </w:pPr>
      <w:r>
        <w:rPr>
          <w:rFonts w:hint="eastAsia" w:ascii="黑体" w:hAnsi="黑体" w:eastAsia="黑体"/>
          <w:b/>
          <w:sz w:val="28"/>
          <w:szCs w:val="28"/>
        </w:rPr>
        <w:t>第一部分  安义县</w:t>
      </w:r>
      <w:r>
        <w:rPr>
          <w:rFonts w:hint="eastAsia" w:ascii="黑体" w:hAnsi="黑体" w:eastAsia="黑体" w:cs="Times New Roman"/>
          <w:b/>
          <w:sz w:val="28"/>
          <w:szCs w:val="28"/>
        </w:rPr>
        <w:t>发展和改革委员会</w:t>
      </w:r>
      <w:r>
        <w:rPr>
          <w:rFonts w:hint="eastAsia" w:ascii="黑体" w:hAnsi="黑体" w:eastAsia="黑体"/>
          <w:b/>
          <w:sz w:val="28"/>
          <w:szCs w:val="28"/>
        </w:rPr>
        <w:t>概况</w:t>
      </w:r>
    </w:p>
    <w:p>
      <w:pPr>
        <w:widowControl/>
        <w:spacing w:line="540" w:lineRule="exact"/>
        <w:ind w:firstLine="1150" w:firstLineChars="411"/>
        <w:jc w:val="left"/>
        <w:rPr>
          <w:rFonts w:hint="eastAsia" w:ascii="仿宋_GB2312" w:hAnsi="仿宋" w:eastAsia="仿宋_GB2312"/>
          <w:sz w:val="28"/>
          <w:szCs w:val="28"/>
        </w:rPr>
      </w:pPr>
      <w:r>
        <w:rPr>
          <w:rFonts w:hint="eastAsia" w:ascii="仿宋_GB2312" w:hAnsi="仿宋" w:eastAsia="仿宋_GB2312"/>
          <w:sz w:val="28"/>
          <w:szCs w:val="28"/>
        </w:rPr>
        <w:t>一、</w:t>
      </w:r>
      <w:r>
        <w:rPr>
          <w:rFonts w:hint="eastAsia" w:ascii="仿宋_GB2312" w:hAnsi="仿宋" w:eastAsia="仿宋_GB2312"/>
          <w:sz w:val="28"/>
          <w:szCs w:val="28"/>
          <w:lang w:eastAsia="zh-CN"/>
        </w:rPr>
        <w:t>部门</w:t>
      </w:r>
      <w:r>
        <w:rPr>
          <w:rFonts w:hint="eastAsia" w:ascii="仿宋_GB2312" w:hAnsi="仿宋" w:eastAsia="仿宋_GB2312"/>
          <w:sz w:val="28"/>
          <w:szCs w:val="28"/>
        </w:rPr>
        <w:t>主要</w:t>
      </w:r>
      <w:r>
        <w:rPr>
          <w:rFonts w:hint="eastAsia" w:ascii="仿宋_GB2312" w:hAnsi="仿宋" w:eastAsia="仿宋_GB2312"/>
          <w:sz w:val="28"/>
          <w:szCs w:val="28"/>
          <w:lang w:val="en-US" w:eastAsia="zh-CN"/>
        </w:rPr>
        <w:t>职责</w:t>
      </w:r>
    </w:p>
    <w:p>
      <w:pPr>
        <w:widowControl/>
        <w:spacing w:line="540" w:lineRule="exact"/>
        <w:ind w:firstLine="1150" w:firstLineChars="411"/>
        <w:jc w:val="left"/>
        <w:rPr>
          <w:rFonts w:hint="eastAsia" w:ascii="仿宋_GB2312" w:hAnsi="仿宋" w:eastAsia="仿宋_GB2312" w:cs="宋体"/>
          <w:kern w:val="0"/>
          <w:sz w:val="28"/>
          <w:szCs w:val="28"/>
        </w:rPr>
      </w:pPr>
      <w:r>
        <w:rPr>
          <w:rFonts w:hint="eastAsia" w:ascii="仿宋_GB2312" w:hAnsi="仿宋" w:eastAsia="仿宋_GB2312" w:cs="宋体"/>
          <w:kern w:val="0"/>
          <w:sz w:val="28"/>
          <w:szCs w:val="28"/>
        </w:rPr>
        <w:t>二、</w:t>
      </w:r>
      <w:r>
        <w:rPr>
          <w:rFonts w:hint="eastAsia" w:ascii="仿宋_GB2312" w:hAnsi="仿宋" w:eastAsia="仿宋_GB2312" w:cs="宋体"/>
          <w:kern w:val="0"/>
          <w:sz w:val="28"/>
          <w:szCs w:val="28"/>
          <w:lang w:eastAsia="zh-CN"/>
        </w:rPr>
        <w:t>部门</w:t>
      </w:r>
      <w:r>
        <w:rPr>
          <w:rFonts w:hint="eastAsia" w:ascii="仿宋_GB2312" w:hAnsi="仿宋" w:eastAsia="仿宋_GB2312" w:cs="宋体"/>
          <w:kern w:val="0"/>
          <w:sz w:val="28"/>
          <w:szCs w:val="28"/>
          <w:lang w:val="en-US" w:eastAsia="zh-CN"/>
        </w:rPr>
        <w:t>基本情况</w:t>
      </w:r>
    </w:p>
    <w:p>
      <w:pPr>
        <w:widowControl/>
        <w:spacing w:line="540" w:lineRule="exact"/>
        <w:ind w:firstLine="562" w:firstLineChars="200"/>
        <w:jc w:val="left"/>
        <w:rPr>
          <w:rFonts w:hint="eastAsia" w:ascii="黑体" w:hAnsi="黑体" w:eastAsia="黑体" w:cs="Times New Roman"/>
          <w:b/>
          <w:sz w:val="28"/>
          <w:szCs w:val="28"/>
          <w:lang w:eastAsia="zh-CN"/>
        </w:rPr>
      </w:pPr>
      <w:r>
        <w:rPr>
          <w:rFonts w:hint="eastAsia" w:ascii="黑体" w:hAnsi="黑体" w:eastAsia="黑体"/>
          <w:b/>
          <w:sz w:val="28"/>
          <w:szCs w:val="28"/>
        </w:rPr>
        <w:t xml:space="preserve">第二部分  </w:t>
      </w:r>
      <w:r>
        <w:rPr>
          <w:rFonts w:hint="eastAsia" w:ascii="黑体" w:hAnsi="黑体" w:eastAsia="黑体" w:cs="Times New Roman"/>
          <w:b/>
          <w:sz w:val="28"/>
          <w:szCs w:val="28"/>
          <w:lang w:eastAsia="zh-CN"/>
        </w:rPr>
        <w:t>安义县发展和改革委员会</w:t>
      </w:r>
      <w:r>
        <w:rPr>
          <w:rFonts w:hint="eastAsia" w:ascii="黑体" w:hAnsi="黑体" w:eastAsia="黑体" w:cs="Times New Roman"/>
          <w:b/>
          <w:sz w:val="28"/>
          <w:szCs w:val="28"/>
          <w:lang w:val="en-US" w:eastAsia="zh-CN"/>
        </w:rPr>
        <w:t>2022</w:t>
      </w:r>
      <w:r>
        <w:rPr>
          <w:rFonts w:hint="eastAsia" w:ascii="黑体" w:hAnsi="黑体" w:eastAsia="黑体" w:cs="Times New Roman"/>
          <w:b/>
          <w:sz w:val="28"/>
          <w:szCs w:val="28"/>
          <w:lang w:eastAsia="zh-CN"/>
        </w:rPr>
        <w:t>年度部门预算表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一、《收支预算总表》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二、《</w:t>
      </w:r>
      <w:r>
        <w:rPr>
          <w:rFonts w:hint="eastAsia" w:ascii="楷体_GB2312" w:eastAsia="楷体_GB2312"/>
          <w:color w:val="000000"/>
          <w:sz w:val="32"/>
          <w:szCs w:val="30"/>
          <w:lang w:eastAsia="zh-CN"/>
        </w:rPr>
        <w:t>部门</w:t>
      </w:r>
      <w:r>
        <w:rPr>
          <w:rFonts w:hint="eastAsia" w:ascii="楷体_GB2312" w:eastAsia="楷体_GB2312"/>
          <w:color w:val="000000"/>
          <w:sz w:val="32"/>
          <w:szCs w:val="30"/>
        </w:rPr>
        <w:t>收入总表》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三、《</w:t>
      </w:r>
      <w:r>
        <w:rPr>
          <w:rFonts w:hint="eastAsia" w:ascii="楷体_GB2312" w:eastAsia="楷体_GB2312"/>
          <w:color w:val="000000"/>
          <w:sz w:val="32"/>
          <w:szCs w:val="30"/>
          <w:lang w:eastAsia="zh-CN"/>
        </w:rPr>
        <w:t>部门</w:t>
      </w:r>
      <w:r>
        <w:rPr>
          <w:rFonts w:hint="eastAsia" w:ascii="楷体_GB2312" w:eastAsia="楷体_GB2312"/>
          <w:color w:val="000000"/>
          <w:sz w:val="32"/>
          <w:szCs w:val="30"/>
        </w:rPr>
        <w:t>支出总表》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四、《财政拨款收支总表》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五、《一般公共预算支出表》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六、《一般公共预算基本支出表》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七、《一般公共预算“三公”经费支出表》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八、《政府性基金预算支出表》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九、《国有资本经营预算支出表》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十、《部门整体支出绩效目标表》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十一、《重点项目绩效目标表》</w:t>
      </w:r>
    </w:p>
    <w:p>
      <w:pPr>
        <w:widowControl/>
        <w:spacing w:line="540" w:lineRule="exact"/>
        <w:ind w:firstLine="562" w:firstLineChars="200"/>
        <w:jc w:val="left"/>
        <w:rPr>
          <w:rFonts w:hint="eastAsia" w:ascii="黑体" w:hAnsi="黑体" w:eastAsia="黑体"/>
          <w:b/>
          <w:sz w:val="28"/>
          <w:szCs w:val="28"/>
        </w:rPr>
      </w:pPr>
      <w:r>
        <w:rPr>
          <w:rFonts w:hint="eastAsia" w:ascii="黑体" w:hAnsi="黑体" w:eastAsia="黑体" w:cs="Times New Roman"/>
          <w:b/>
          <w:sz w:val="28"/>
          <w:szCs w:val="28"/>
          <w:lang w:eastAsia="zh-CN"/>
        </w:rPr>
        <w:t xml:space="preserve">第三部分  </w:t>
      </w:r>
      <w:r>
        <w:rPr>
          <w:rFonts w:hint="eastAsia" w:ascii="黑体" w:hAnsi="黑体" w:eastAsia="黑体"/>
          <w:b/>
          <w:sz w:val="28"/>
          <w:szCs w:val="28"/>
        </w:rPr>
        <w:t>安义县</w:t>
      </w:r>
      <w:r>
        <w:rPr>
          <w:rFonts w:hint="eastAsia" w:ascii="黑体" w:hAnsi="黑体" w:eastAsia="黑体" w:cs="Times New Roman"/>
          <w:b/>
          <w:sz w:val="28"/>
          <w:szCs w:val="28"/>
        </w:rPr>
        <w:t>发展和改革委员会</w:t>
      </w:r>
      <w:r>
        <w:rPr>
          <w:rFonts w:hint="eastAsia" w:ascii="黑体" w:hAnsi="黑体" w:eastAsia="黑体"/>
          <w:b/>
          <w:sz w:val="28"/>
          <w:szCs w:val="28"/>
          <w:lang w:val="en-US" w:eastAsia="zh-CN"/>
        </w:rPr>
        <w:t>2022</w:t>
      </w:r>
      <w:r>
        <w:rPr>
          <w:rFonts w:hint="eastAsia" w:ascii="黑体" w:hAnsi="黑体" w:eastAsia="黑体"/>
          <w:b/>
          <w:sz w:val="28"/>
          <w:szCs w:val="28"/>
        </w:rPr>
        <w:t>年度</w:t>
      </w:r>
      <w:r>
        <w:rPr>
          <w:rFonts w:hint="eastAsia" w:ascii="黑体" w:hAnsi="黑体" w:eastAsia="黑体"/>
          <w:b/>
          <w:sz w:val="28"/>
          <w:szCs w:val="28"/>
          <w:lang w:eastAsia="zh-CN"/>
        </w:rPr>
        <w:t>部门预</w:t>
      </w:r>
      <w:r>
        <w:rPr>
          <w:rFonts w:hint="eastAsia" w:ascii="黑体" w:hAnsi="黑体" w:eastAsia="黑体"/>
          <w:b/>
          <w:sz w:val="28"/>
          <w:szCs w:val="28"/>
        </w:rPr>
        <w:t>算情况说明</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lang w:val="en-US" w:eastAsia="zh-CN"/>
        </w:rPr>
        <w:t>一、2022年部门预算收支情况</w:t>
      </w:r>
      <w:r>
        <w:rPr>
          <w:rFonts w:hint="eastAsia" w:ascii="楷体_GB2312" w:eastAsia="楷体_GB2312"/>
          <w:color w:val="000000"/>
          <w:sz w:val="32"/>
          <w:szCs w:val="30"/>
        </w:rPr>
        <w:t>说明</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二、</w:t>
      </w:r>
      <w:r>
        <w:rPr>
          <w:rFonts w:hint="eastAsia" w:ascii="楷体_GB2312" w:eastAsia="楷体_GB2312"/>
          <w:color w:val="000000"/>
          <w:sz w:val="32"/>
          <w:szCs w:val="30"/>
          <w:lang w:val="en-US" w:eastAsia="zh-CN"/>
        </w:rPr>
        <w:t>2022年“三公”经费预</w:t>
      </w:r>
      <w:r>
        <w:rPr>
          <w:rFonts w:hint="eastAsia" w:ascii="楷体_GB2312" w:eastAsia="楷体_GB2312"/>
          <w:color w:val="000000"/>
          <w:sz w:val="32"/>
          <w:szCs w:val="30"/>
        </w:rPr>
        <w:t>算情况说</w:t>
      </w:r>
      <w:r>
        <w:rPr>
          <w:rFonts w:hint="eastAsia" w:ascii="楷体_GB2312" w:eastAsia="楷体_GB2312"/>
          <w:color w:val="000000"/>
          <w:sz w:val="32"/>
          <w:szCs w:val="30"/>
          <w:lang w:val="en-US" w:eastAsia="zh-CN"/>
        </w:rPr>
        <w:t>明</w:t>
      </w:r>
    </w:p>
    <w:p>
      <w:pPr>
        <w:widowControl/>
        <w:spacing w:line="540" w:lineRule="exact"/>
        <w:ind w:firstLine="562" w:firstLineChars="200"/>
        <w:jc w:val="left"/>
        <w:rPr>
          <w:rFonts w:hint="eastAsia" w:ascii="黑体" w:hAnsi="黑体" w:eastAsia="黑体" w:cs="Times New Roman"/>
          <w:b/>
          <w:sz w:val="28"/>
          <w:szCs w:val="28"/>
          <w:lang w:eastAsia="zh-CN"/>
        </w:rPr>
      </w:pPr>
      <w:r>
        <w:rPr>
          <w:rFonts w:hint="eastAsia" w:ascii="黑体" w:hAnsi="黑体" w:eastAsia="黑体" w:cs="Times New Roman"/>
          <w:b/>
          <w:sz w:val="28"/>
          <w:szCs w:val="28"/>
          <w:lang w:eastAsia="zh-CN"/>
        </w:rPr>
        <w:t>第四部分 名词解释</w:t>
      </w:r>
    </w:p>
    <w:p>
      <w:pPr>
        <w:widowControl/>
        <w:spacing w:line="576" w:lineRule="exact"/>
        <w:jc w:val="center"/>
        <w:rPr>
          <w:rFonts w:hint="eastAsia" w:ascii="黑体" w:hAnsi="宋体" w:eastAsia="黑体"/>
          <w:sz w:val="32"/>
          <w:szCs w:val="32"/>
        </w:rPr>
      </w:pPr>
    </w:p>
    <w:p>
      <w:pPr>
        <w:widowControl/>
        <w:spacing w:line="576" w:lineRule="exact"/>
        <w:jc w:val="center"/>
        <w:rPr>
          <w:rFonts w:hint="eastAsia" w:ascii="黑体" w:hAnsi="宋体" w:eastAsia="黑体"/>
          <w:sz w:val="32"/>
          <w:szCs w:val="32"/>
        </w:rPr>
      </w:pPr>
    </w:p>
    <w:p>
      <w:pPr>
        <w:widowControl/>
        <w:spacing w:line="576" w:lineRule="exact"/>
        <w:jc w:val="center"/>
        <w:rPr>
          <w:rFonts w:hint="eastAsia" w:ascii="黑体" w:hAnsi="宋体" w:eastAsia="黑体"/>
          <w:sz w:val="32"/>
          <w:szCs w:val="32"/>
        </w:rPr>
      </w:pPr>
    </w:p>
    <w:p>
      <w:pPr>
        <w:widowControl/>
        <w:spacing w:line="576" w:lineRule="exact"/>
        <w:jc w:val="both"/>
        <w:rPr>
          <w:rFonts w:hint="eastAsia" w:ascii="黑体" w:hAnsi="宋体" w:eastAsia="黑体"/>
          <w:sz w:val="32"/>
          <w:szCs w:val="32"/>
        </w:rPr>
      </w:pPr>
    </w:p>
    <w:p>
      <w:pPr>
        <w:widowControl/>
        <w:spacing w:line="576" w:lineRule="exact"/>
        <w:jc w:val="center"/>
        <w:rPr>
          <w:rFonts w:hint="eastAsia" w:ascii="黑体" w:hAnsi="宋体" w:eastAsia="黑体"/>
          <w:sz w:val="32"/>
          <w:szCs w:val="32"/>
        </w:rPr>
      </w:pPr>
      <w:r>
        <w:rPr>
          <w:rFonts w:hint="eastAsia" w:ascii="黑体" w:hAnsi="宋体" w:eastAsia="黑体"/>
          <w:sz w:val="32"/>
          <w:szCs w:val="32"/>
        </w:rPr>
        <w:t>第一部分：</w:t>
      </w:r>
      <w:r>
        <w:rPr>
          <w:rFonts w:hint="eastAsia" w:ascii="黑体" w:hAnsi="宋体" w:eastAsia="黑体"/>
          <w:sz w:val="32"/>
          <w:szCs w:val="32"/>
          <w:lang w:val="en-US" w:eastAsia="zh-CN"/>
        </w:rPr>
        <w:t>安义县</w:t>
      </w:r>
      <w:r>
        <w:rPr>
          <w:rFonts w:hint="eastAsia" w:ascii="黑体" w:hAnsi="宋体" w:eastAsia="黑体" w:cs="Times New Roman"/>
          <w:sz w:val="32"/>
          <w:szCs w:val="32"/>
          <w:lang w:val="en-US" w:eastAsia="zh-CN"/>
        </w:rPr>
        <w:t>发展和改革委员会</w:t>
      </w:r>
      <w:r>
        <w:rPr>
          <w:rFonts w:hint="eastAsia" w:ascii="黑体" w:hAnsi="宋体" w:eastAsia="黑体"/>
          <w:sz w:val="32"/>
          <w:szCs w:val="32"/>
        </w:rPr>
        <w:t>概况</w:t>
      </w:r>
    </w:p>
    <w:p>
      <w:pPr>
        <w:widowControl/>
        <w:spacing w:line="576" w:lineRule="exact"/>
        <w:jc w:val="both"/>
        <w:rPr>
          <w:rFonts w:hint="eastAsia" w:ascii="黑体" w:hAnsi="宋体" w:eastAsia="黑体"/>
          <w:sz w:val="32"/>
          <w:szCs w:val="32"/>
        </w:rPr>
      </w:pPr>
    </w:p>
    <w:p>
      <w:pPr>
        <w:numPr>
          <w:ilvl w:val="0"/>
          <w:numId w:val="1"/>
        </w:numPr>
        <w:spacing w:line="576" w:lineRule="exact"/>
        <w:ind w:firstLine="560" w:firstLineChars="200"/>
        <w:jc w:val="left"/>
        <w:rPr>
          <w:rFonts w:hint="eastAsia" w:ascii="黑体" w:hAnsi="黑体" w:eastAsia="黑体"/>
          <w:sz w:val="28"/>
          <w:szCs w:val="28"/>
        </w:rPr>
      </w:pPr>
      <w:r>
        <w:rPr>
          <w:rFonts w:hint="eastAsia" w:ascii="黑体" w:hAnsi="黑体" w:eastAsia="黑体"/>
          <w:sz w:val="28"/>
          <w:szCs w:val="28"/>
          <w:lang w:eastAsia="zh-CN"/>
        </w:rPr>
        <w:t>部门</w:t>
      </w:r>
      <w:r>
        <w:rPr>
          <w:rFonts w:hint="eastAsia" w:ascii="黑体" w:hAnsi="黑体" w:eastAsia="黑体"/>
          <w:sz w:val="28"/>
          <w:szCs w:val="28"/>
        </w:rPr>
        <w:t>主要职责</w:t>
      </w:r>
    </w:p>
    <w:p>
      <w:pPr>
        <w:spacing w:line="580" w:lineRule="exact"/>
        <w:ind w:firstLine="640" w:firstLineChars="200"/>
        <w:rPr>
          <w:rFonts w:hint="eastAsia" w:ascii="仿宋" w:hAnsi="仿宋" w:eastAsia="仿宋" w:cs="仿宋_GB2312"/>
          <w:sz w:val="32"/>
          <w:szCs w:val="32"/>
        </w:rPr>
      </w:pPr>
      <w:r>
        <w:rPr>
          <w:rFonts w:hint="eastAsia" w:ascii="仿宋" w:hAnsi="仿宋" w:eastAsia="仿宋" w:cs="仿宋_GB2312"/>
          <w:sz w:val="32"/>
          <w:szCs w:val="32"/>
        </w:rPr>
        <w:t>（1）拟订并组织实施全县国民经济和社会发展战略、中长期规划和年度计划，协调相关</w:t>
      </w:r>
      <w:r>
        <w:rPr>
          <w:rFonts w:hint="eastAsia" w:ascii="仿宋" w:hAnsi="仿宋" w:eastAsia="仿宋" w:cs="仿宋_GB2312"/>
          <w:sz w:val="32"/>
          <w:szCs w:val="32"/>
          <w:lang w:eastAsia="zh-CN"/>
        </w:rPr>
        <w:t>部门</w:t>
      </w:r>
      <w:r>
        <w:rPr>
          <w:rFonts w:hint="eastAsia" w:ascii="仿宋" w:hAnsi="仿宋" w:eastAsia="仿宋" w:cs="仿宋_GB2312"/>
          <w:sz w:val="32"/>
          <w:szCs w:val="32"/>
        </w:rPr>
        <w:t>和单位拟定并组织实施全县行业、产业和区域规划。</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（2）协调产业和社会事业发展的政策和重大问题；组织协调开展争取国家、省、市重大经济政策支持工作。</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（3）跟踪、分析全县经济运行情况，及时提出调控政策建议。</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4）提出全县年度固定资产投资项目建设计划；统筹安排县级重大重点项目和政府主导投资项目计划；审批政府性投资建设项目，核准和备案社会投资项目，审查和上报权限外建设项目可行性报告、初步设计、节能评估报告等项目前期材料；负责对全县各类项目进行全过程监督管理、协调服务，开展项目验收工作。</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（5）开展全县工程项目招投标核准工作，并对其过程进行指导、协调、监督和管理。</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（6）协调拟订经济体制改革方案，会同有关</w:t>
      </w:r>
      <w:r>
        <w:rPr>
          <w:rFonts w:hint="eastAsia" w:ascii="仿宋" w:hAnsi="仿宋" w:eastAsia="仿宋" w:cs="仿宋_GB2312"/>
          <w:sz w:val="32"/>
          <w:szCs w:val="32"/>
          <w:lang w:eastAsia="zh-CN"/>
        </w:rPr>
        <w:t>部门</w:t>
      </w:r>
      <w:r>
        <w:rPr>
          <w:rFonts w:hint="eastAsia" w:ascii="仿宋" w:hAnsi="仿宋" w:eastAsia="仿宋" w:cs="仿宋_GB2312"/>
          <w:sz w:val="32"/>
          <w:szCs w:val="32"/>
        </w:rPr>
        <w:t>做好有关专项经济体制改革之间的衔接，指导推进经济体制改革工作。</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7）负责节能的综合协调工作，组织拟订发展循环经济、全社会能源资源节约和综合利用规划及政策措施并协调实施，协调推进全县低碳经济发展和低碳城市建设工作；负责县本级公共机构节能监督管理工作，具体承办县公共机构节能领导小组的日常工作。</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（8）研究全县人口规模、趋势、素质、结构等人口重大问题，提出本县人口发展战略，编制人口中、长期发展规划和年度计划。</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（9）负责全县的价格管理（不含药品和医疗服务价格管理）工作，根据定价权限和管理范围，制订和调整在全县执行的政府定价、政府指导价。</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（10）负责全县的行政事业性、经营服务性收费项目标准的管理，开展收费报告工作。</w:t>
      </w:r>
    </w:p>
    <w:p>
      <w:pPr>
        <w:spacing w:line="580" w:lineRule="exact"/>
        <w:ind w:firstLine="640"/>
        <w:rPr>
          <w:rFonts w:hint="eastAsia" w:ascii="仿宋" w:hAnsi="仿宋" w:eastAsia="仿宋" w:cs="仿宋_GB2312"/>
          <w:sz w:val="32"/>
          <w:szCs w:val="32"/>
        </w:rPr>
      </w:pPr>
      <w:r>
        <w:rPr>
          <w:rFonts w:hint="eastAsia" w:ascii="仿宋" w:hAnsi="仿宋" w:eastAsia="仿宋" w:cs="仿宋_GB2312"/>
          <w:sz w:val="32"/>
          <w:szCs w:val="32"/>
        </w:rPr>
        <w:t>（11）负责价格听证和价格调节基金管理工作，开展价格认定、成本审核、价格信息监测工作。</w:t>
      </w:r>
    </w:p>
    <w:p>
      <w:pPr>
        <w:numPr>
          <w:ilvl w:val="0"/>
          <w:numId w:val="0"/>
        </w:numPr>
        <w:spacing w:line="576" w:lineRule="exact"/>
        <w:ind w:firstLine="640" w:firstLineChars="200"/>
        <w:jc w:val="left"/>
        <w:rPr>
          <w:rFonts w:hint="eastAsia" w:ascii="黑体" w:hAnsi="黑体" w:eastAsia="黑体"/>
          <w:sz w:val="28"/>
          <w:szCs w:val="28"/>
        </w:rPr>
      </w:pPr>
      <w:r>
        <w:rPr>
          <w:rFonts w:hint="eastAsia" w:ascii="仿宋" w:hAnsi="仿宋" w:eastAsia="仿宋" w:cs="仿宋_GB2312"/>
          <w:sz w:val="32"/>
          <w:szCs w:val="32"/>
        </w:rPr>
        <w:t>（12）完成县委、县政府交办的其它任务。</w:t>
      </w:r>
    </w:p>
    <w:p>
      <w:pPr>
        <w:spacing w:line="576" w:lineRule="exact"/>
        <w:ind w:firstLine="560" w:firstLineChars="200"/>
        <w:jc w:val="left"/>
        <w:rPr>
          <w:rFonts w:hint="eastAsia" w:ascii="黑体" w:hAnsi="黑体" w:eastAsia="黑体"/>
          <w:sz w:val="28"/>
          <w:szCs w:val="28"/>
        </w:rPr>
      </w:pPr>
      <w:r>
        <w:rPr>
          <w:rFonts w:hint="eastAsia" w:ascii="黑体" w:hAnsi="黑体" w:eastAsia="黑体"/>
          <w:sz w:val="28"/>
          <w:szCs w:val="28"/>
        </w:rPr>
        <w:t>二、</w:t>
      </w:r>
      <w:r>
        <w:rPr>
          <w:rFonts w:hint="eastAsia" w:ascii="黑体" w:hAnsi="黑体" w:eastAsia="黑体"/>
          <w:sz w:val="28"/>
          <w:szCs w:val="28"/>
          <w:lang w:eastAsia="zh-CN"/>
        </w:rPr>
        <w:t>部门</w:t>
      </w:r>
      <w:r>
        <w:rPr>
          <w:rFonts w:hint="eastAsia" w:ascii="黑体" w:hAnsi="黑体" w:eastAsia="黑体"/>
          <w:sz w:val="28"/>
          <w:szCs w:val="28"/>
        </w:rPr>
        <w:t>基本情况</w:t>
      </w:r>
      <w:r>
        <w:rPr>
          <w:rFonts w:hint="eastAsia" w:ascii="黑体" w:hAnsi="黑体" w:eastAsia="黑体"/>
          <w:sz w:val="28"/>
          <w:szCs w:val="28"/>
          <w:lang w:val="en-US" w:eastAsia="zh-CN"/>
        </w:rPr>
        <w:t xml:space="preserve"> </w:t>
      </w:r>
    </w:p>
    <w:p>
      <w:pPr>
        <w:ind w:firstLine="630"/>
        <w:jc w:val="left"/>
        <w:rPr>
          <w:rFonts w:hint="eastAsia" w:ascii="仿宋" w:hAnsi="仿宋" w:eastAsia="仿宋"/>
          <w:sz w:val="30"/>
          <w:szCs w:val="30"/>
        </w:rPr>
      </w:pPr>
      <w:r>
        <w:rPr>
          <w:rFonts w:hint="eastAsia" w:ascii="仿宋" w:hAnsi="仿宋" w:eastAsia="仿宋"/>
          <w:sz w:val="30"/>
          <w:szCs w:val="30"/>
        </w:rPr>
        <w:t>纳入本套</w:t>
      </w:r>
      <w:r>
        <w:rPr>
          <w:rFonts w:hint="eastAsia" w:ascii="仿宋" w:hAnsi="仿宋" w:eastAsia="仿宋"/>
          <w:sz w:val="30"/>
          <w:szCs w:val="30"/>
          <w:lang w:eastAsia="zh-CN"/>
        </w:rPr>
        <w:t>部门</w:t>
      </w:r>
      <w:r>
        <w:rPr>
          <w:rFonts w:hint="eastAsia" w:ascii="仿宋" w:hAnsi="仿宋" w:eastAsia="仿宋"/>
          <w:sz w:val="30"/>
          <w:szCs w:val="30"/>
        </w:rPr>
        <w:t>决算汇编范围的独立核算单位共</w:t>
      </w:r>
      <w:r>
        <w:rPr>
          <w:rFonts w:hint="eastAsia" w:ascii="仿宋" w:hAnsi="仿宋" w:eastAsia="仿宋" w:cs="仿宋_GB2312"/>
          <w:sz w:val="32"/>
          <w:szCs w:val="32"/>
        </w:rPr>
        <w:t>1个，为安义县发展和改革委员会本级</w:t>
      </w:r>
      <w:r>
        <w:rPr>
          <w:rFonts w:hint="eastAsia" w:ascii="仿宋" w:hAnsi="仿宋" w:eastAsia="仿宋"/>
          <w:sz w:val="30"/>
          <w:szCs w:val="30"/>
        </w:rPr>
        <w:t>。</w:t>
      </w:r>
    </w:p>
    <w:p>
      <w:pPr>
        <w:ind w:firstLine="630"/>
        <w:jc w:val="left"/>
        <w:rPr>
          <w:rFonts w:hint="eastAsia" w:ascii="仿宋" w:hAnsi="仿宋" w:eastAsia="仿宋"/>
          <w:sz w:val="30"/>
          <w:szCs w:val="30"/>
        </w:rPr>
      </w:pPr>
      <w:r>
        <w:rPr>
          <w:rFonts w:hint="eastAsia" w:ascii="仿宋" w:hAnsi="仿宋" w:eastAsia="仿宋"/>
          <w:sz w:val="30"/>
          <w:szCs w:val="30"/>
        </w:rPr>
        <w:t>本</w:t>
      </w:r>
      <w:r>
        <w:rPr>
          <w:rFonts w:hint="eastAsia" w:ascii="仿宋" w:hAnsi="仿宋" w:eastAsia="仿宋"/>
          <w:sz w:val="30"/>
          <w:szCs w:val="30"/>
          <w:lang w:eastAsia="zh-CN"/>
        </w:rPr>
        <w:t>部门</w:t>
      </w:r>
      <w:r>
        <w:rPr>
          <w:rFonts w:hint="eastAsia" w:ascii="仿宋" w:hAnsi="仿宋" w:eastAsia="仿宋"/>
          <w:sz w:val="30"/>
          <w:szCs w:val="30"/>
        </w:rPr>
        <w:t>20</w:t>
      </w:r>
      <w:r>
        <w:rPr>
          <w:rFonts w:hint="eastAsia" w:ascii="仿宋" w:hAnsi="仿宋" w:eastAsia="仿宋"/>
          <w:sz w:val="30"/>
          <w:szCs w:val="30"/>
          <w:lang w:val="en-US" w:eastAsia="zh-CN"/>
        </w:rPr>
        <w:t>21</w:t>
      </w:r>
      <w:r>
        <w:rPr>
          <w:rFonts w:hint="eastAsia" w:ascii="仿宋" w:hAnsi="仿宋" w:eastAsia="仿宋"/>
          <w:sz w:val="30"/>
          <w:szCs w:val="30"/>
        </w:rPr>
        <w:t>年年末职工人数</w:t>
      </w:r>
      <w:r>
        <w:rPr>
          <w:rFonts w:hint="eastAsia" w:ascii="仿宋" w:hAnsi="仿宋" w:eastAsia="仿宋" w:cs="仿宋_GB2312"/>
          <w:sz w:val="32"/>
          <w:szCs w:val="32"/>
        </w:rPr>
        <w:t>25人，其中：行政编制1</w:t>
      </w:r>
      <w:r>
        <w:rPr>
          <w:rFonts w:hint="eastAsia" w:ascii="仿宋" w:hAnsi="仿宋" w:eastAsia="仿宋" w:cs="仿宋_GB2312"/>
          <w:sz w:val="32"/>
          <w:szCs w:val="32"/>
          <w:lang w:val="en-US" w:eastAsia="zh-CN"/>
        </w:rPr>
        <w:t>8</w:t>
      </w:r>
      <w:r>
        <w:rPr>
          <w:rFonts w:hint="eastAsia" w:ascii="仿宋" w:hAnsi="仿宋" w:eastAsia="仿宋" w:cs="仿宋_GB2312"/>
          <w:sz w:val="32"/>
          <w:szCs w:val="32"/>
        </w:rPr>
        <w:t>人，全额补助事业编制6人</w:t>
      </w:r>
      <w:r>
        <w:rPr>
          <w:rFonts w:hint="eastAsia" w:ascii="仿宋" w:hAnsi="仿宋" w:eastAsia="仿宋" w:cs="仿宋_GB2312"/>
          <w:sz w:val="32"/>
          <w:szCs w:val="32"/>
          <w:lang w:eastAsia="zh-CN"/>
        </w:rPr>
        <w:t>，</w:t>
      </w:r>
      <w:r>
        <w:rPr>
          <w:rFonts w:hint="eastAsia" w:ascii="仿宋" w:hAnsi="仿宋" w:eastAsia="仿宋" w:cs="仿宋_GB2312"/>
          <w:sz w:val="32"/>
          <w:szCs w:val="32"/>
          <w:lang w:val="en-US" w:eastAsia="zh-CN"/>
        </w:rPr>
        <w:t>自收自支1人</w:t>
      </w:r>
      <w:r>
        <w:rPr>
          <w:rFonts w:hint="eastAsia" w:ascii="仿宋" w:hAnsi="仿宋" w:eastAsia="仿宋" w:cs="仿宋_GB2312"/>
          <w:sz w:val="32"/>
          <w:szCs w:val="32"/>
        </w:rPr>
        <w:t>；</w:t>
      </w:r>
      <w:r>
        <w:rPr>
          <w:rFonts w:hint="eastAsia" w:ascii="仿宋" w:hAnsi="仿宋" w:eastAsia="仿宋"/>
          <w:sz w:val="30"/>
          <w:szCs w:val="30"/>
        </w:rPr>
        <w:t>其中在职人员</w:t>
      </w:r>
      <w:r>
        <w:rPr>
          <w:rFonts w:hint="eastAsia" w:ascii="仿宋" w:hAnsi="仿宋" w:eastAsia="仿宋" w:cs="仿宋_GB2312"/>
          <w:sz w:val="32"/>
          <w:szCs w:val="32"/>
        </w:rPr>
        <w:t>43人，其中：在职人数2</w:t>
      </w:r>
      <w:r>
        <w:rPr>
          <w:rFonts w:hint="eastAsia" w:ascii="仿宋" w:hAnsi="仿宋" w:eastAsia="仿宋" w:cs="仿宋_GB2312"/>
          <w:sz w:val="32"/>
          <w:szCs w:val="32"/>
          <w:lang w:val="en-US" w:eastAsia="zh-CN"/>
        </w:rPr>
        <w:t>5</w:t>
      </w:r>
      <w:r>
        <w:rPr>
          <w:rFonts w:hint="eastAsia" w:ascii="仿宋" w:hAnsi="仿宋" w:eastAsia="仿宋" w:cs="仿宋_GB2312"/>
          <w:sz w:val="32"/>
          <w:szCs w:val="32"/>
        </w:rPr>
        <w:t>人，包括行政人员18人、全额补助事业人员6人</w:t>
      </w:r>
      <w:r>
        <w:rPr>
          <w:rFonts w:hint="eastAsia" w:ascii="仿宋" w:hAnsi="仿宋" w:eastAsia="仿宋" w:cs="仿宋_GB2312"/>
          <w:sz w:val="32"/>
          <w:szCs w:val="32"/>
          <w:lang w:eastAsia="zh-CN"/>
        </w:rPr>
        <w:t>、</w:t>
      </w:r>
      <w:r>
        <w:rPr>
          <w:rFonts w:hint="eastAsia" w:ascii="仿宋" w:hAnsi="仿宋" w:eastAsia="仿宋" w:cs="仿宋_GB2312"/>
          <w:sz w:val="32"/>
          <w:szCs w:val="32"/>
          <w:lang w:val="en-US" w:eastAsia="zh-CN"/>
        </w:rPr>
        <w:t>自收自支1人</w:t>
      </w:r>
      <w:r>
        <w:rPr>
          <w:rFonts w:hint="eastAsia" w:ascii="仿宋" w:hAnsi="仿宋" w:eastAsia="仿宋" w:cs="仿宋_GB2312"/>
          <w:sz w:val="32"/>
          <w:szCs w:val="32"/>
        </w:rPr>
        <w:t>；退休人员19人。</w:t>
      </w:r>
    </w:p>
    <w:p>
      <w:pPr>
        <w:spacing w:line="560" w:lineRule="exact"/>
        <w:ind w:left="420" w:leftChars="200" w:firstLine="640" w:firstLineChars="200"/>
        <w:rPr>
          <w:rFonts w:hint="eastAsia" w:ascii="仿宋_GB2312" w:hAnsi="宋体" w:eastAsia="仿宋_GB2312"/>
          <w:color w:val="000000"/>
          <w:sz w:val="32"/>
          <w:szCs w:val="32"/>
          <w:shd w:val="clear" w:color="auto" w:fill="FFFFFF"/>
        </w:rPr>
      </w:pPr>
    </w:p>
    <w:p>
      <w:pPr>
        <w:spacing w:line="560" w:lineRule="exact"/>
        <w:ind w:left="420" w:leftChars="200" w:firstLine="640" w:firstLineChars="200"/>
        <w:rPr>
          <w:rFonts w:hint="eastAsia" w:ascii="仿宋_GB2312" w:hAnsi="宋体" w:eastAsia="仿宋_GB2312"/>
          <w:color w:val="000000"/>
          <w:sz w:val="32"/>
          <w:szCs w:val="32"/>
          <w:shd w:val="clear" w:color="auto" w:fill="FFFFFF"/>
        </w:rPr>
      </w:pPr>
    </w:p>
    <w:p>
      <w:pPr>
        <w:widowControl/>
        <w:spacing w:line="576" w:lineRule="exact"/>
        <w:jc w:val="center"/>
        <w:rPr>
          <w:rFonts w:hint="eastAsia" w:ascii="黑体" w:hAnsi="宋体" w:eastAsia="黑体"/>
          <w:sz w:val="32"/>
          <w:szCs w:val="32"/>
          <w:lang w:val="en-US" w:eastAsia="zh-CN"/>
        </w:rPr>
      </w:pPr>
      <w:r>
        <w:rPr>
          <w:rFonts w:hint="eastAsia" w:ascii="黑体" w:hAnsi="宋体" w:eastAsia="黑体"/>
          <w:sz w:val="32"/>
          <w:szCs w:val="32"/>
        </w:rPr>
        <w:t>第二部分：</w:t>
      </w:r>
      <w:r>
        <w:rPr>
          <w:rFonts w:hint="eastAsia" w:ascii="黑体" w:hAnsi="宋体" w:eastAsia="黑体" w:cs="Times New Roman"/>
          <w:sz w:val="32"/>
          <w:szCs w:val="32"/>
          <w:lang w:val="en-US" w:eastAsia="zh-CN"/>
        </w:rPr>
        <w:t>安义县发展和改革委员会</w:t>
      </w:r>
      <w:r>
        <w:rPr>
          <w:rFonts w:hint="eastAsia" w:ascii="黑体" w:hAnsi="宋体" w:eastAsia="黑体"/>
          <w:sz w:val="32"/>
          <w:szCs w:val="32"/>
          <w:lang w:val="en-US" w:eastAsia="zh-CN"/>
        </w:rPr>
        <w:t>2022年部门预算表</w:t>
      </w:r>
    </w:p>
    <w:p>
      <w:pPr>
        <w:keepNext w:val="0"/>
        <w:keepLines w:val="0"/>
        <w:pageBreakBefore w:val="0"/>
        <w:widowControl w:val="0"/>
        <w:kinsoku/>
        <w:wordWrap/>
        <w:overflowPunct/>
        <w:topLinePunct w:val="0"/>
        <w:autoSpaceDE/>
        <w:autoSpaceDN/>
        <w:bidi w:val="0"/>
        <w:adjustRightInd/>
        <w:snapToGrid/>
        <w:spacing w:line="2400" w:lineRule="auto"/>
        <w:jc w:val="left"/>
        <w:textAlignment w:val="auto"/>
      </w:pPr>
      <w:r>
        <w:drawing>
          <wp:inline distT="0" distB="0" distL="114300" distR="114300">
            <wp:extent cx="5399405" cy="6407150"/>
            <wp:effectExtent l="0" t="0" r="10795" b="6350"/>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5"/>
                    <a:stretch>
                      <a:fillRect/>
                    </a:stretch>
                  </pic:blipFill>
                  <pic:spPr>
                    <a:xfrm>
                      <a:off x="0" y="0"/>
                      <a:ext cx="5399405" cy="640715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0" w:lineRule="auto"/>
        <w:jc w:val="left"/>
        <w:textAlignment w:val="auto"/>
      </w:pPr>
      <w:r>
        <w:drawing>
          <wp:inline distT="0" distB="0" distL="114300" distR="114300">
            <wp:extent cx="5398770" cy="1267460"/>
            <wp:effectExtent l="0" t="0" r="11430" b="2540"/>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6"/>
                    <a:stretch>
                      <a:fillRect/>
                    </a:stretch>
                  </pic:blipFill>
                  <pic:spPr>
                    <a:xfrm>
                      <a:off x="0" y="0"/>
                      <a:ext cx="5398770" cy="126746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0" w:lineRule="auto"/>
        <w:jc w:val="left"/>
        <w:textAlignment w:val="auto"/>
      </w:pPr>
      <w:r>
        <w:drawing>
          <wp:inline distT="0" distB="0" distL="114300" distR="114300">
            <wp:extent cx="5389245" cy="1215390"/>
            <wp:effectExtent l="0" t="0" r="8255" b="3810"/>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pic:cNvPicPr>
                  </pic:nvPicPr>
                  <pic:blipFill>
                    <a:blip r:embed="rId7"/>
                    <a:stretch>
                      <a:fillRect/>
                    </a:stretch>
                  </pic:blipFill>
                  <pic:spPr>
                    <a:xfrm>
                      <a:off x="0" y="0"/>
                      <a:ext cx="5389245" cy="1215390"/>
                    </a:xfrm>
                    <a:prstGeom prst="rect">
                      <a:avLst/>
                    </a:prstGeom>
                    <a:noFill/>
                    <a:ln>
                      <a:noFill/>
                    </a:ln>
                  </pic:spPr>
                </pic:pic>
              </a:graphicData>
            </a:graphic>
          </wp:inline>
        </w:drawing>
      </w:r>
    </w:p>
    <w:p>
      <w:pPr>
        <w:pStyle w:val="2"/>
      </w:pPr>
      <w:r>
        <w:drawing>
          <wp:inline distT="0" distB="0" distL="114300" distR="114300">
            <wp:extent cx="5393690" cy="6088380"/>
            <wp:effectExtent l="0" t="0" r="3810" b="7620"/>
            <wp:docPr id="2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2"/>
                    <pic:cNvPicPr>
                      <a:picLocks noChangeAspect="1"/>
                    </pic:cNvPicPr>
                  </pic:nvPicPr>
                  <pic:blipFill>
                    <a:blip r:embed="rId8"/>
                    <a:stretch>
                      <a:fillRect/>
                    </a:stretch>
                  </pic:blipFill>
                  <pic:spPr>
                    <a:xfrm>
                      <a:off x="0" y="0"/>
                      <a:ext cx="5393690" cy="6088380"/>
                    </a:xfrm>
                    <a:prstGeom prst="rect">
                      <a:avLst/>
                    </a:prstGeom>
                    <a:noFill/>
                    <a:ln>
                      <a:noFill/>
                    </a:ln>
                  </pic:spPr>
                </pic:pic>
              </a:graphicData>
            </a:graphic>
          </wp:inline>
        </w:drawing>
      </w:r>
    </w:p>
    <w:p>
      <w:pPr>
        <w:pStyle w:val="2"/>
      </w:pPr>
      <w:r>
        <w:drawing>
          <wp:inline distT="0" distB="0" distL="114300" distR="114300">
            <wp:extent cx="5398135" cy="1381760"/>
            <wp:effectExtent l="0" t="0" r="12065" b="2540"/>
            <wp:docPr id="2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3"/>
                    <pic:cNvPicPr>
                      <a:picLocks noChangeAspect="1"/>
                    </pic:cNvPicPr>
                  </pic:nvPicPr>
                  <pic:blipFill>
                    <a:blip r:embed="rId9"/>
                    <a:stretch>
                      <a:fillRect/>
                    </a:stretch>
                  </pic:blipFill>
                  <pic:spPr>
                    <a:xfrm>
                      <a:off x="0" y="0"/>
                      <a:ext cx="5398135" cy="1381760"/>
                    </a:xfrm>
                    <a:prstGeom prst="rect">
                      <a:avLst/>
                    </a:prstGeom>
                    <a:noFill/>
                    <a:ln>
                      <a:noFill/>
                    </a:ln>
                  </pic:spPr>
                </pic:pic>
              </a:graphicData>
            </a:graphic>
          </wp:inline>
        </w:drawing>
      </w:r>
    </w:p>
    <w:p>
      <w:pPr>
        <w:pStyle w:val="2"/>
      </w:pPr>
      <w:r>
        <w:drawing>
          <wp:inline distT="0" distB="0" distL="114300" distR="114300">
            <wp:extent cx="5399405" cy="5088255"/>
            <wp:effectExtent l="0" t="0" r="10795" b="4445"/>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pic:cNvPicPr>
                      <a:picLocks noChangeAspect="1"/>
                    </pic:cNvPicPr>
                  </pic:nvPicPr>
                  <pic:blipFill>
                    <a:blip r:embed="rId10"/>
                    <a:stretch>
                      <a:fillRect/>
                    </a:stretch>
                  </pic:blipFill>
                  <pic:spPr>
                    <a:xfrm>
                      <a:off x="0" y="0"/>
                      <a:ext cx="5399405" cy="5088255"/>
                    </a:xfrm>
                    <a:prstGeom prst="rect">
                      <a:avLst/>
                    </a:prstGeom>
                    <a:noFill/>
                    <a:ln>
                      <a:noFill/>
                    </a:ln>
                  </pic:spPr>
                </pic:pic>
              </a:graphicData>
            </a:graphic>
          </wp:inline>
        </w:drawing>
      </w:r>
    </w:p>
    <w:p>
      <w:pPr>
        <w:pStyle w:val="2"/>
      </w:pPr>
      <w:r>
        <w:drawing>
          <wp:inline distT="0" distB="0" distL="114300" distR="114300">
            <wp:extent cx="5397500" cy="967105"/>
            <wp:effectExtent l="0" t="0" r="0" b="10795"/>
            <wp:docPr id="2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5"/>
                    <pic:cNvPicPr>
                      <a:picLocks noChangeAspect="1"/>
                    </pic:cNvPicPr>
                  </pic:nvPicPr>
                  <pic:blipFill>
                    <a:blip r:embed="rId11"/>
                    <a:stretch>
                      <a:fillRect/>
                    </a:stretch>
                  </pic:blipFill>
                  <pic:spPr>
                    <a:xfrm>
                      <a:off x="0" y="0"/>
                      <a:ext cx="5397500" cy="96710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880" w:lineRule="auto"/>
        <w:jc w:val="left"/>
        <w:textAlignment w:val="auto"/>
      </w:pPr>
      <w:r>
        <w:drawing>
          <wp:inline distT="0" distB="0" distL="114300" distR="114300">
            <wp:extent cx="5396230" cy="974725"/>
            <wp:effectExtent l="0" t="0" r="1270" b="3175"/>
            <wp:docPr id="2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6"/>
                    <pic:cNvPicPr>
                      <a:picLocks noChangeAspect="1"/>
                    </pic:cNvPicPr>
                  </pic:nvPicPr>
                  <pic:blipFill>
                    <a:blip r:embed="rId12"/>
                    <a:stretch>
                      <a:fillRect/>
                    </a:stretch>
                  </pic:blipFill>
                  <pic:spPr>
                    <a:xfrm>
                      <a:off x="0" y="0"/>
                      <a:ext cx="5396230" cy="974725"/>
                    </a:xfrm>
                    <a:prstGeom prst="rect">
                      <a:avLst/>
                    </a:prstGeom>
                    <a:noFill/>
                    <a:ln>
                      <a:noFill/>
                    </a:ln>
                  </pic:spPr>
                </pic:pic>
              </a:graphicData>
            </a:graphic>
          </wp:inline>
        </w:drawing>
      </w:r>
    </w:p>
    <w:p>
      <w:pPr>
        <w:pStyle w:val="2"/>
      </w:pPr>
      <w:r>
        <w:drawing>
          <wp:inline distT="0" distB="0" distL="114300" distR="114300">
            <wp:extent cx="5400040" cy="1061720"/>
            <wp:effectExtent l="0" t="0" r="10160" b="5080"/>
            <wp:docPr id="2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7"/>
                    <pic:cNvPicPr>
                      <a:picLocks noChangeAspect="1"/>
                    </pic:cNvPicPr>
                  </pic:nvPicPr>
                  <pic:blipFill>
                    <a:blip r:embed="rId13"/>
                    <a:stretch>
                      <a:fillRect/>
                    </a:stretch>
                  </pic:blipFill>
                  <pic:spPr>
                    <a:xfrm>
                      <a:off x="0" y="0"/>
                      <a:ext cx="5400040" cy="1061720"/>
                    </a:xfrm>
                    <a:prstGeom prst="rect">
                      <a:avLst/>
                    </a:prstGeom>
                    <a:noFill/>
                    <a:ln>
                      <a:noFill/>
                    </a:ln>
                  </pic:spPr>
                </pic:pic>
              </a:graphicData>
            </a:graphic>
          </wp:inline>
        </w:drawing>
      </w:r>
    </w:p>
    <w:p>
      <w:pPr>
        <w:pStyle w:val="2"/>
      </w:pPr>
      <w:r>
        <w:drawing>
          <wp:inline distT="0" distB="0" distL="114300" distR="114300">
            <wp:extent cx="5394960" cy="8764905"/>
            <wp:effectExtent l="0" t="0" r="2540" b="10795"/>
            <wp:docPr id="2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8"/>
                    <pic:cNvPicPr>
                      <a:picLocks noChangeAspect="1"/>
                    </pic:cNvPicPr>
                  </pic:nvPicPr>
                  <pic:blipFill>
                    <a:blip r:embed="rId14"/>
                    <a:stretch>
                      <a:fillRect/>
                    </a:stretch>
                  </pic:blipFill>
                  <pic:spPr>
                    <a:xfrm>
                      <a:off x="0" y="0"/>
                      <a:ext cx="5394960" cy="8764905"/>
                    </a:xfrm>
                    <a:prstGeom prst="rect">
                      <a:avLst/>
                    </a:prstGeom>
                    <a:noFill/>
                    <a:ln>
                      <a:noFill/>
                    </a:ln>
                  </pic:spPr>
                </pic:pic>
              </a:graphicData>
            </a:graphic>
          </wp:inline>
        </w:drawing>
      </w:r>
      <w:bookmarkStart w:id="0" w:name="_GoBack"/>
      <w:bookmarkEnd w:id="0"/>
    </w:p>
    <w:p>
      <w:pPr>
        <w:pStyle w:val="2"/>
        <w:rPr>
          <w:rFonts w:hint="eastAsia"/>
          <w:lang w:val="en-US" w:eastAsia="zh-CN"/>
        </w:rPr>
      </w:pPr>
      <w:r>
        <w:drawing>
          <wp:inline distT="0" distB="0" distL="114300" distR="114300">
            <wp:extent cx="5394325" cy="4811395"/>
            <wp:effectExtent l="0" t="0" r="3175" b="1905"/>
            <wp:docPr id="11"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7"/>
                    <pic:cNvPicPr>
                      <a:picLocks noChangeAspect="1"/>
                    </pic:cNvPicPr>
                  </pic:nvPicPr>
                  <pic:blipFill>
                    <a:blip r:embed="rId15"/>
                    <a:stretch>
                      <a:fillRect/>
                    </a:stretch>
                  </pic:blipFill>
                  <pic:spPr>
                    <a:xfrm>
                      <a:off x="0" y="0"/>
                      <a:ext cx="5394325" cy="4811395"/>
                    </a:xfrm>
                    <a:prstGeom prst="rect">
                      <a:avLst/>
                    </a:prstGeom>
                    <a:noFill/>
                    <a:ln>
                      <a:noFill/>
                    </a:ln>
                  </pic:spPr>
                </pic:pic>
              </a:graphicData>
            </a:graphic>
          </wp:inline>
        </w:drawing>
      </w:r>
    </w:p>
    <w:p>
      <w:pPr>
        <w:spacing w:line="576" w:lineRule="exact"/>
        <w:ind w:firstLine="640" w:firstLineChars="200"/>
        <w:jc w:val="left"/>
        <w:rPr>
          <w:rFonts w:hint="eastAsia" w:ascii="仿宋_GB2312" w:hAnsi="宋体" w:eastAsia="仿宋_GB2312"/>
          <w:color w:val="000000"/>
          <w:sz w:val="32"/>
          <w:szCs w:val="32"/>
          <w:shd w:val="clear" w:color="auto" w:fill="FFFFFF"/>
          <w:lang w:val="en-US" w:eastAsia="zh-CN"/>
        </w:rPr>
      </w:pPr>
    </w:p>
    <w:p>
      <w:pPr>
        <w:widowControl/>
        <w:spacing w:line="576" w:lineRule="exact"/>
        <w:jc w:val="center"/>
        <w:rPr>
          <w:rFonts w:hint="eastAsia" w:ascii="黑体" w:hAnsi="宋体" w:eastAsia="黑体"/>
          <w:sz w:val="32"/>
          <w:szCs w:val="32"/>
        </w:rPr>
      </w:pPr>
      <w:r>
        <w:rPr>
          <w:rFonts w:hint="eastAsia" w:ascii="黑体" w:hAnsi="宋体" w:eastAsia="黑体"/>
          <w:sz w:val="32"/>
          <w:szCs w:val="32"/>
        </w:rPr>
        <w:t>第</w:t>
      </w:r>
      <w:r>
        <w:rPr>
          <w:rFonts w:hint="eastAsia" w:ascii="黑体" w:hAnsi="宋体" w:eastAsia="黑体"/>
          <w:sz w:val="32"/>
          <w:szCs w:val="32"/>
          <w:lang w:val="en-US" w:eastAsia="zh-CN"/>
        </w:rPr>
        <w:t>三</w:t>
      </w:r>
      <w:r>
        <w:rPr>
          <w:rFonts w:hint="eastAsia" w:ascii="黑体" w:hAnsi="宋体" w:eastAsia="黑体"/>
          <w:sz w:val="32"/>
          <w:szCs w:val="32"/>
        </w:rPr>
        <w:t>部分：</w:t>
      </w:r>
      <w:r>
        <w:rPr>
          <w:rFonts w:hint="eastAsia" w:ascii="黑体" w:hAnsi="宋体" w:eastAsia="黑体"/>
          <w:sz w:val="32"/>
          <w:szCs w:val="32"/>
          <w:lang w:val="en-US" w:eastAsia="zh-CN"/>
        </w:rPr>
        <w:t>安义县</w:t>
      </w:r>
      <w:r>
        <w:rPr>
          <w:rFonts w:hint="eastAsia" w:ascii="黑体" w:hAnsi="宋体" w:eastAsia="黑体" w:cs="Times New Roman"/>
          <w:sz w:val="32"/>
          <w:szCs w:val="32"/>
          <w:lang w:val="en-US" w:eastAsia="zh-CN"/>
        </w:rPr>
        <w:t>发展和改革委员会20</w:t>
      </w:r>
      <w:r>
        <w:rPr>
          <w:rFonts w:hint="eastAsia" w:ascii="黑体" w:hAnsi="宋体" w:eastAsia="黑体"/>
          <w:sz w:val="32"/>
          <w:szCs w:val="32"/>
          <w:lang w:val="en-US" w:eastAsia="zh-CN"/>
        </w:rPr>
        <w:t>22</w:t>
      </w:r>
      <w:r>
        <w:rPr>
          <w:rFonts w:hint="eastAsia" w:ascii="黑体" w:hAnsi="宋体" w:eastAsia="黑体"/>
          <w:sz w:val="32"/>
          <w:szCs w:val="32"/>
        </w:rPr>
        <w:t>年</w:t>
      </w:r>
      <w:r>
        <w:rPr>
          <w:rFonts w:hint="eastAsia" w:ascii="黑体" w:hAnsi="宋体" w:eastAsia="黑体"/>
          <w:sz w:val="32"/>
          <w:szCs w:val="32"/>
          <w:lang w:eastAsia="zh-CN"/>
        </w:rPr>
        <w:t>部门</w:t>
      </w:r>
      <w:r>
        <w:rPr>
          <w:rFonts w:hint="eastAsia" w:ascii="黑体" w:hAnsi="宋体" w:eastAsia="黑体"/>
          <w:sz w:val="32"/>
          <w:szCs w:val="32"/>
        </w:rPr>
        <w:t>预算情况说明</w:t>
      </w:r>
    </w:p>
    <w:p>
      <w:pPr>
        <w:spacing w:line="576" w:lineRule="exact"/>
        <w:ind w:firstLine="560" w:firstLineChars="200"/>
        <w:jc w:val="left"/>
        <w:rPr>
          <w:rFonts w:hint="eastAsia" w:ascii="黑体" w:hAnsi="黑体" w:eastAsia="黑体"/>
          <w:sz w:val="28"/>
          <w:szCs w:val="28"/>
        </w:rPr>
      </w:pPr>
      <w:r>
        <w:rPr>
          <w:rFonts w:hint="eastAsia" w:ascii="黑体" w:hAnsi="黑体" w:eastAsia="黑体"/>
          <w:sz w:val="28"/>
          <w:szCs w:val="28"/>
          <w:lang w:eastAsia="zh-CN"/>
        </w:rPr>
        <w:t>一</w:t>
      </w:r>
      <w:r>
        <w:rPr>
          <w:rFonts w:hint="eastAsia" w:ascii="黑体" w:hAnsi="黑体" w:eastAsia="黑体"/>
          <w:sz w:val="28"/>
          <w:szCs w:val="28"/>
        </w:rPr>
        <w:t>、</w:t>
      </w:r>
      <w:r>
        <w:rPr>
          <w:rFonts w:hint="eastAsia" w:ascii="黑体" w:hAnsi="黑体" w:eastAsia="黑体"/>
          <w:b/>
          <w:bCs/>
          <w:sz w:val="28"/>
          <w:szCs w:val="28"/>
          <w:lang w:val="en-US" w:eastAsia="zh-CN"/>
        </w:rPr>
        <w:t>2022</w:t>
      </w:r>
      <w:r>
        <w:rPr>
          <w:rFonts w:hint="eastAsia" w:ascii="黑体" w:hAnsi="黑体" w:eastAsia="黑体"/>
          <w:sz w:val="28"/>
          <w:szCs w:val="28"/>
        </w:rPr>
        <w:t>年</w:t>
      </w:r>
      <w:r>
        <w:rPr>
          <w:rFonts w:hint="eastAsia" w:ascii="黑体" w:hAnsi="黑体" w:eastAsia="黑体"/>
          <w:sz w:val="28"/>
          <w:szCs w:val="28"/>
          <w:lang w:eastAsia="zh-CN"/>
        </w:rPr>
        <w:t>部门</w:t>
      </w:r>
      <w:r>
        <w:rPr>
          <w:rFonts w:hint="eastAsia" w:ascii="黑体" w:hAnsi="黑体" w:eastAsia="黑体"/>
          <w:sz w:val="28"/>
          <w:szCs w:val="28"/>
        </w:rPr>
        <w:t>预算</w:t>
      </w:r>
      <w:r>
        <w:rPr>
          <w:rFonts w:hint="eastAsia" w:ascii="黑体" w:hAnsi="黑体" w:eastAsia="黑体"/>
          <w:sz w:val="28"/>
          <w:szCs w:val="28"/>
          <w:lang w:val="en-US" w:eastAsia="zh-CN"/>
        </w:rPr>
        <w:t>收支</w:t>
      </w:r>
      <w:r>
        <w:rPr>
          <w:rFonts w:hint="eastAsia" w:ascii="黑体" w:hAnsi="黑体" w:eastAsia="黑体"/>
          <w:sz w:val="28"/>
          <w:szCs w:val="28"/>
        </w:rPr>
        <w:t>情况说明</w:t>
      </w:r>
    </w:p>
    <w:p>
      <w:pPr>
        <w:numPr>
          <w:ilvl w:val="0"/>
          <w:numId w:val="0"/>
        </w:numPr>
        <w:spacing w:line="560" w:lineRule="exact"/>
        <w:ind w:left="0" w:leftChars="0" w:firstLine="641" w:firstLineChars="228"/>
        <w:rPr>
          <w:rFonts w:hint="eastAsia" w:ascii="仿宋" w:hAnsi="仿宋" w:eastAsia="仿宋" w:cs="仿宋"/>
          <w:b/>
          <w:bCs/>
          <w:color w:val="000000"/>
          <w:sz w:val="28"/>
          <w:szCs w:val="28"/>
          <w:shd w:val="clear" w:color="auto" w:fill="FFFFFF"/>
          <w:lang w:val="en-US" w:eastAsia="zh-CN"/>
        </w:rPr>
      </w:pPr>
      <w:r>
        <w:rPr>
          <w:rFonts w:hint="eastAsia" w:ascii="仿宋" w:hAnsi="仿宋" w:eastAsia="仿宋" w:cs="仿宋"/>
          <w:b/>
          <w:bCs/>
          <w:color w:val="000000"/>
          <w:sz w:val="28"/>
          <w:szCs w:val="28"/>
          <w:shd w:val="clear" w:color="auto" w:fill="FFFFFF"/>
          <w:lang w:val="en-US" w:eastAsia="zh-CN"/>
        </w:rPr>
        <w:t xml:space="preserve"> </w:t>
      </w:r>
      <w:r>
        <w:rPr>
          <w:rFonts w:hint="eastAsia" w:ascii="仿宋" w:hAnsi="仿宋" w:eastAsia="仿宋" w:cs="仿宋"/>
          <w:b/>
          <w:bCs/>
          <w:color w:val="000000"/>
          <w:sz w:val="28"/>
          <w:szCs w:val="28"/>
          <w:shd w:val="clear" w:color="auto" w:fill="FFFFFF"/>
          <w:lang w:eastAsia="zh-CN"/>
        </w:rPr>
        <w:t>（</w:t>
      </w:r>
      <w:r>
        <w:rPr>
          <w:rFonts w:hint="eastAsia" w:ascii="仿宋" w:hAnsi="仿宋" w:eastAsia="仿宋" w:cs="仿宋"/>
          <w:b/>
          <w:bCs/>
          <w:color w:val="000000"/>
          <w:sz w:val="28"/>
          <w:szCs w:val="28"/>
          <w:shd w:val="clear" w:color="auto" w:fill="FFFFFF"/>
          <w:lang w:val="en-US" w:eastAsia="zh-CN"/>
        </w:rPr>
        <w:t>一</w:t>
      </w:r>
      <w:r>
        <w:rPr>
          <w:rFonts w:hint="eastAsia" w:ascii="仿宋" w:hAnsi="仿宋" w:eastAsia="仿宋" w:cs="仿宋"/>
          <w:b/>
          <w:bCs/>
          <w:color w:val="000000"/>
          <w:sz w:val="28"/>
          <w:szCs w:val="28"/>
          <w:shd w:val="clear" w:color="auto" w:fill="FFFFFF"/>
          <w:lang w:eastAsia="zh-CN"/>
        </w:rPr>
        <w:t>）</w:t>
      </w:r>
      <w:r>
        <w:rPr>
          <w:rFonts w:hint="eastAsia" w:ascii="仿宋" w:hAnsi="仿宋" w:eastAsia="仿宋" w:cs="仿宋"/>
          <w:b/>
          <w:bCs/>
          <w:color w:val="000000"/>
          <w:sz w:val="28"/>
          <w:szCs w:val="28"/>
          <w:shd w:val="clear" w:color="auto" w:fill="FFFFFF"/>
        </w:rPr>
        <w:t>收</w:t>
      </w:r>
      <w:r>
        <w:rPr>
          <w:rFonts w:hint="eastAsia" w:ascii="仿宋" w:hAnsi="仿宋" w:eastAsia="仿宋" w:cs="仿宋"/>
          <w:b/>
          <w:bCs/>
          <w:color w:val="000000"/>
          <w:sz w:val="28"/>
          <w:szCs w:val="28"/>
          <w:shd w:val="clear" w:color="auto" w:fill="FFFFFF"/>
          <w:lang w:val="en-US" w:eastAsia="zh-CN"/>
        </w:rPr>
        <w:t>入</w:t>
      </w:r>
      <w:r>
        <w:rPr>
          <w:rFonts w:hint="eastAsia" w:ascii="仿宋" w:hAnsi="仿宋" w:eastAsia="仿宋" w:cs="仿宋"/>
          <w:b/>
          <w:bCs/>
          <w:color w:val="000000"/>
          <w:sz w:val="28"/>
          <w:szCs w:val="28"/>
          <w:shd w:val="clear" w:color="auto" w:fill="FFFFFF"/>
        </w:rPr>
        <w:t>预算情况</w:t>
      </w:r>
      <w:r>
        <w:rPr>
          <w:rFonts w:hint="eastAsia" w:ascii="仿宋" w:hAnsi="仿宋" w:eastAsia="仿宋" w:cs="仿宋"/>
          <w:b/>
          <w:bCs/>
          <w:color w:val="000000"/>
          <w:sz w:val="28"/>
          <w:szCs w:val="28"/>
          <w:shd w:val="clear" w:color="auto" w:fill="FFFFFF"/>
          <w:lang w:val="en-US" w:eastAsia="zh-CN"/>
        </w:rPr>
        <w:t xml:space="preserve"> </w:t>
      </w:r>
    </w:p>
    <w:p>
      <w:pPr>
        <w:spacing w:line="360" w:lineRule="auto"/>
        <w:ind w:firstLine="560" w:firstLineChars="200"/>
        <w:rPr>
          <w:rFonts w:ascii="仿宋" w:hAnsi="仿宋" w:eastAsia="仿宋"/>
          <w:color w:val="000000"/>
          <w:sz w:val="32"/>
          <w:szCs w:val="32"/>
        </w:rPr>
      </w:pPr>
      <w:r>
        <w:rPr>
          <w:rFonts w:hint="eastAsia" w:ascii="仿宋" w:hAnsi="仿宋" w:eastAsia="仿宋" w:cs="仿宋"/>
          <w:b w:val="0"/>
          <w:bCs w:val="0"/>
          <w:color w:val="000000"/>
          <w:sz w:val="28"/>
          <w:szCs w:val="28"/>
          <w:shd w:val="clear" w:color="auto" w:fill="FFFFFF"/>
          <w:lang w:val="en-US" w:eastAsia="zh-CN"/>
        </w:rPr>
        <w:t>2022</w:t>
      </w:r>
      <w:r>
        <w:rPr>
          <w:rFonts w:hint="eastAsia" w:ascii="仿宋_GB2312" w:hAnsi="宋体" w:eastAsia="仿宋_GB2312" w:cs="Times New Roman"/>
          <w:color w:val="000000"/>
          <w:sz w:val="32"/>
          <w:szCs w:val="32"/>
          <w:shd w:val="clear" w:color="auto" w:fill="FFFFFF"/>
        </w:rPr>
        <w:t>年</w:t>
      </w:r>
      <w:r>
        <w:rPr>
          <w:rFonts w:hint="eastAsia" w:ascii="仿宋_GB2312" w:hAnsi="宋体" w:eastAsia="仿宋_GB2312" w:cs="Times New Roman"/>
          <w:color w:val="000000"/>
          <w:sz w:val="32"/>
          <w:szCs w:val="32"/>
          <w:shd w:val="clear" w:color="auto" w:fill="FFFFFF"/>
          <w:lang w:val="en-US" w:eastAsia="zh-CN"/>
        </w:rPr>
        <w:t>安义县发展和改革委员会收</w:t>
      </w:r>
      <w:r>
        <w:rPr>
          <w:rFonts w:hint="eastAsia" w:ascii="仿宋_GB2312" w:hAnsi="宋体" w:eastAsia="仿宋_GB2312" w:cs="Times New Roman"/>
          <w:color w:val="000000"/>
          <w:sz w:val="32"/>
          <w:szCs w:val="32"/>
          <w:shd w:val="clear" w:color="auto" w:fill="FFFFFF"/>
        </w:rPr>
        <w:t>入</w:t>
      </w:r>
      <w:r>
        <w:rPr>
          <w:rFonts w:hint="eastAsia" w:ascii="仿宋_GB2312" w:hAnsi="宋体" w:eastAsia="仿宋_GB2312"/>
          <w:color w:val="000000"/>
          <w:sz w:val="32"/>
          <w:szCs w:val="32"/>
          <w:shd w:val="clear" w:color="auto" w:fill="FFFFFF"/>
        </w:rPr>
        <w:t>预算总额为</w:t>
      </w:r>
      <w:r>
        <w:rPr>
          <w:rFonts w:hint="eastAsia" w:ascii="仿宋_GB2312" w:hAnsi="宋体" w:eastAsia="仿宋_GB2312"/>
          <w:color w:val="000000"/>
          <w:sz w:val="32"/>
          <w:szCs w:val="32"/>
          <w:shd w:val="clear" w:color="auto" w:fill="FFFFFF"/>
          <w:lang w:val="en-US" w:eastAsia="zh-CN"/>
        </w:rPr>
        <w:t>495.99</w:t>
      </w:r>
      <w:r>
        <w:rPr>
          <w:rFonts w:hint="eastAsia" w:ascii="仿宋" w:hAnsi="仿宋" w:eastAsia="仿宋"/>
          <w:color w:val="000000"/>
          <w:sz w:val="32"/>
          <w:szCs w:val="30"/>
        </w:rPr>
        <w:t>万元，较上年预算安排减少</w:t>
      </w:r>
      <w:r>
        <w:rPr>
          <w:rFonts w:hint="eastAsia" w:ascii="仿宋" w:hAnsi="仿宋" w:eastAsia="仿宋"/>
          <w:color w:val="000000"/>
          <w:sz w:val="32"/>
          <w:szCs w:val="30"/>
          <w:lang w:val="en-US" w:eastAsia="zh-CN"/>
        </w:rPr>
        <w:t>70.81</w:t>
      </w:r>
      <w:r>
        <w:rPr>
          <w:rFonts w:hint="eastAsia" w:ascii="仿宋" w:hAnsi="仿宋" w:eastAsia="仿宋"/>
          <w:color w:val="000000"/>
          <w:sz w:val="32"/>
          <w:szCs w:val="30"/>
        </w:rPr>
        <w:t>万元。其中：财政拨款收入</w:t>
      </w:r>
      <w:r>
        <w:rPr>
          <w:rFonts w:hint="eastAsia" w:ascii="仿宋_GB2312" w:hAnsi="宋体" w:eastAsia="仿宋_GB2312"/>
          <w:color w:val="000000"/>
          <w:sz w:val="32"/>
          <w:szCs w:val="32"/>
          <w:shd w:val="clear" w:color="auto" w:fill="FFFFFF"/>
          <w:lang w:val="en-US" w:eastAsia="zh-CN"/>
        </w:rPr>
        <w:t>495.99</w:t>
      </w:r>
      <w:r>
        <w:rPr>
          <w:rFonts w:hint="eastAsia" w:ascii="仿宋" w:hAnsi="仿宋" w:eastAsia="仿宋"/>
          <w:color w:val="000000"/>
          <w:sz w:val="32"/>
          <w:szCs w:val="30"/>
        </w:rPr>
        <w:t>万元，较上年预算安排减少</w:t>
      </w:r>
      <w:r>
        <w:rPr>
          <w:rFonts w:hint="eastAsia" w:ascii="仿宋" w:hAnsi="仿宋" w:eastAsia="仿宋"/>
          <w:color w:val="000000"/>
          <w:sz w:val="32"/>
          <w:szCs w:val="30"/>
          <w:lang w:val="en-US" w:eastAsia="zh-CN"/>
        </w:rPr>
        <w:t>70.81</w:t>
      </w:r>
      <w:r>
        <w:rPr>
          <w:rFonts w:hint="eastAsia" w:ascii="仿宋" w:hAnsi="仿宋" w:eastAsia="仿宋"/>
          <w:color w:val="000000"/>
          <w:sz w:val="32"/>
          <w:szCs w:val="30"/>
        </w:rPr>
        <w:t>万元；事业单位经营收入0万元，较上年预算安排增加（减少）0万元；其他收入0万元，较上年预算安排增加（减少）0万元；上年结转0万元，较上年预算安排增加（减少）0万元。</w:t>
      </w:r>
    </w:p>
    <w:p>
      <w:pPr>
        <w:spacing w:line="560" w:lineRule="exact"/>
        <w:ind w:left="0" w:leftChars="0" w:firstLine="641" w:firstLineChars="228"/>
        <w:rPr>
          <w:rFonts w:hint="eastAsia" w:ascii="仿宋" w:hAnsi="仿宋" w:eastAsia="仿宋" w:cs="仿宋"/>
          <w:b/>
          <w:bCs/>
          <w:color w:val="000000"/>
          <w:sz w:val="28"/>
          <w:szCs w:val="28"/>
          <w:shd w:val="clear" w:color="auto" w:fill="FFFFFF"/>
        </w:rPr>
      </w:pPr>
      <w:r>
        <w:rPr>
          <w:rFonts w:hint="eastAsia" w:ascii="仿宋" w:hAnsi="仿宋" w:eastAsia="仿宋" w:cs="仿宋"/>
          <w:b/>
          <w:bCs/>
          <w:color w:val="000000"/>
          <w:sz w:val="28"/>
          <w:szCs w:val="28"/>
          <w:shd w:val="clear" w:color="auto" w:fill="FFFFFF"/>
        </w:rPr>
        <w:t>（</w:t>
      </w:r>
      <w:r>
        <w:rPr>
          <w:rFonts w:hint="eastAsia" w:ascii="仿宋" w:hAnsi="仿宋" w:eastAsia="仿宋" w:cs="仿宋"/>
          <w:b/>
          <w:bCs/>
          <w:color w:val="000000"/>
          <w:sz w:val="28"/>
          <w:szCs w:val="28"/>
          <w:shd w:val="clear" w:color="auto" w:fill="FFFFFF"/>
          <w:lang w:val="en-US" w:eastAsia="zh-CN"/>
        </w:rPr>
        <w:t>二</w:t>
      </w:r>
      <w:r>
        <w:rPr>
          <w:rFonts w:hint="eastAsia" w:ascii="仿宋" w:hAnsi="仿宋" w:eastAsia="仿宋" w:cs="仿宋"/>
          <w:b/>
          <w:bCs/>
          <w:color w:val="000000"/>
          <w:sz w:val="28"/>
          <w:szCs w:val="28"/>
          <w:shd w:val="clear" w:color="auto" w:fill="FFFFFF"/>
        </w:rPr>
        <w:t>）支出预算情况</w:t>
      </w:r>
    </w:p>
    <w:p>
      <w:pPr>
        <w:spacing w:line="360" w:lineRule="auto"/>
        <w:ind w:firstLine="640" w:firstLineChars="200"/>
        <w:rPr>
          <w:rFonts w:ascii="仿宋" w:hAnsi="仿宋" w:eastAsia="仿宋"/>
          <w:color w:val="000000"/>
          <w:sz w:val="32"/>
          <w:szCs w:val="30"/>
        </w:rPr>
      </w:pPr>
      <w:r>
        <w:rPr>
          <w:rFonts w:hint="eastAsia" w:ascii="仿宋_GB2312" w:hAnsi="宋体" w:eastAsia="仿宋_GB2312"/>
          <w:color w:val="000000"/>
          <w:sz w:val="32"/>
          <w:szCs w:val="32"/>
          <w:shd w:val="clear" w:color="auto" w:fill="FFFFFF"/>
          <w:lang w:val="en-US" w:eastAsia="zh-CN"/>
        </w:rPr>
        <w:t>2022</w:t>
      </w:r>
      <w:r>
        <w:rPr>
          <w:rFonts w:hint="eastAsia" w:ascii="仿宋_GB2312" w:hAnsi="宋体" w:eastAsia="仿宋_GB2312"/>
          <w:color w:val="000000"/>
          <w:sz w:val="32"/>
          <w:szCs w:val="32"/>
          <w:shd w:val="clear" w:color="auto" w:fill="FFFFFF"/>
        </w:rPr>
        <w:t>年</w:t>
      </w:r>
      <w:r>
        <w:rPr>
          <w:rFonts w:hint="eastAsia" w:ascii="仿宋_GB2312" w:hAnsi="宋体" w:eastAsia="仿宋_GB2312" w:cs="Times New Roman"/>
          <w:color w:val="000000"/>
          <w:sz w:val="32"/>
          <w:szCs w:val="32"/>
          <w:shd w:val="clear" w:color="auto" w:fill="FFFFFF"/>
          <w:lang w:val="en-US" w:eastAsia="zh-CN"/>
        </w:rPr>
        <w:t>安义县发展和改革委员会</w:t>
      </w:r>
      <w:r>
        <w:rPr>
          <w:rFonts w:hint="eastAsia" w:ascii="仿宋_GB2312" w:hAnsi="宋体" w:eastAsia="仿宋_GB2312"/>
          <w:color w:val="000000"/>
          <w:sz w:val="32"/>
          <w:szCs w:val="32"/>
          <w:shd w:val="clear" w:color="auto" w:fill="FFFFFF"/>
        </w:rPr>
        <w:t>支出预算总额为</w:t>
      </w:r>
      <w:r>
        <w:rPr>
          <w:rFonts w:hint="eastAsia" w:ascii="仿宋_GB2312" w:hAnsi="宋体" w:eastAsia="仿宋_GB2312"/>
          <w:color w:val="000000"/>
          <w:sz w:val="32"/>
          <w:szCs w:val="32"/>
          <w:shd w:val="clear" w:color="auto" w:fill="FFFFFF"/>
          <w:lang w:val="en-US" w:eastAsia="zh-CN"/>
        </w:rPr>
        <w:t>495.99万元，</w:t>
      </w:r>
      <w:r>
        <w:rPr>
          <w:rFonts w:hint="eastAsia" w:ascii="仿宋" w:hAnsi="仿宋" w:eastAsia="仿宋"/>
          <w:color w:val="000000"/>
          <w:sz w:val="32"/>
          <w:szCs w:val="30"/>
        </w:rPr>
        <w:t>较上年预算安排减少</w:t>
      </w:r>
      <w:r>
        <w:rPr>
          <w:rFonts w:hint="eastAsia" w:ascii="仿宋" w:hAnsi="仿宋" w:eastAsia="仿宋"/>
          <w:color w:val="000000"/>
          <w:sz w:val="32"/>
          <w:szCs w:val="30"/>
          <w:lang w:val="en-US" w:eastAsia="zh-CN"/>
        </w:rPr>
        <w:t>70.81</w:t>
      </w:r>
      <w:r>
        <w:rPr>
          <w:rFonts w:hint="eastAsia" w:ascii="仿宋" w:hAnsi="仿宋" w:eastAsia="仿宋"/>
          <w:color w:val="000000"/>
          <w:sz w:val="32"/>
          <w:szCs w:val="30"/>
        </w:rPr>
        <w:t>万元。其中：</w:t>
      </w:r>
    </w:p>
    <w:p>
      <w:pPr>
        <w:widowControl/>
        <w:spacing w:line="600" w:lineRule="exact"/>
        <w:ind w:firstLine="640" w:firstLineChars="200"/>
        <w:jc w:val="left"/>
        <w:rPr>
          <w:rFonts w:ascii="仿宋" w:hAnsi="仿宋" w:eastAsia="仿宋"/>
          <w:color w:val="000000"/>
          <w:sz w:val="32"/>
          <w:szCs w:val="30"/>
        </w:rPr>
      </w:pPr>
      <w:r>
        <w:rPr>
          <w:rFonts w:hint="eastAsia" w:ascii="仿宋" w:hAnsi="仿宋" w:eastAsia="仿宋"/>
          <w:color w:val="000000"/>
          <w:sz w:val="32"/>
          <w:szCs w:val="30"/>
        </w:rPr>
        <w:t>按支出项目类别划分：基本支出</w:t>
      </w:r>
      <w:r>
        <w:rPr>
          <w:rFonts w:hint="eastAsia" w:ascii="仿宋_GB2312" w:hAnsi="宋体" w:eastAsia="仿宋_GB2312"/>
          <w:color w:val="000000"/>
          <w:sz w:val="32"/>
          <w:szCs w:val="32"/>
          <w:shd w:val="clear" w:color="auto" w:fill="FFFFFF"/>
          <w:lang w:val="en-US" w:eastAsia="zh-CN"/>
        </w:rPr>
        <w:t>495.99</w:t>
      </w:r>
      <w:r>
        <w:rPr>
          <w:rFonts w:hint="eastAsia" w:ascii="仿宋" w:hAnsi="仿宋" w:eastAsia="仿宋"/>
          <w:color w:val="000000"/>
          <w:sz w:val="32"/>
          <w:szCs w:val="30"/>
        </w:rPr>
        <w:t>万元，较上年预算安排减少</w:t>
      </w:r>
      <w:r>
        <w:rPr>
          <w:rFonts w:hint="eastAsia" w:ascii="仿宋" w:hAnsi="仿宋" w:eastAsia="仿宋"/>
          <w:color w:val="000000"/>
          <w:sz w:val="32"/>
          <w:szCs w:val="30"/>
          <w:lang w:val="en-US" w:eastAsia="zh-CN"/>
        </w:rPr>
        <w:t>70.8</w:t>
      </w:r>
      <w:r>
        <w:rPr>
          <w:rFonts w:hint="eastAsia" w:ascii="仿宋" w:hAnsi="仿宋" w:eastAsia="仿宋"/>
          <w:color w:val="000000"/>
          <w:sz w:val="32"/>
          <w:szCs w:val="30"/>
        </w:rPr>
        <w:t>1万元，其中：工资福利支出</w:t>
      </w:r>
      <w:r>
        <w:rPr>
          <w:rFonts w:hint="eastAsia" w:ascii="仿宋" w:hAnsi="仿宋" w:eastAsia="仿宋"/>
          <w:color w:val="000000"/>
          <w:sz w:val="32"/>
          <w:szCs w:val="30"/>
          <w:lang w:val="en-US" w:eastAsia="zh-CN"/>
        </w:rPr>
        <w:t>260.43</w:t>
      </w:r>
      <w:r>
        <w:rPr>
          <w:rFonts w:hint="eastAsia" w:ascii="仿宋" w:hAnsi="仿宋" w:eastAsia="仿宋"/>
          <w:color w:val="000000"/>
          <w:sz w:val="32"/>
          <w:szCs w:val="30"/>
        </w:rPr>
        <w:t>万元，商品和服务支出1</w:t>
      </w:r>
      <w:r>
        <w:rPr>
          <w:rFonts w:hint="eastAsia" w:ascii="仿宋" w:hAnsi="仿宋" w:eastAsia="仿宋"/>
          <w:color w:val="000000"/>
          <w:sz w:val="32"/>
          <w:szCs w:val="30"/>
          <w:lang w:val="en-US" w:eastAsia="zh-CN"/>
        </w:rPr>
        <w:t>41.81</w:t>
      </w:r>
      <w:r>
        <w:rPr>
          <w:rFonts w:hint="eastAsia" w:ascii="仿宋" w:hAnsi="仿宋" w:eastAsia="仿宋"/>
          <w:color w:val="000000"/>
          <w:sz w:val="32"/>
          <w:szCs w:val="30"/>
        </w:rPr>
        <w:t>万元，对个人和家庭补助支出</w:t>
      </w:r>
      <w:r>
        <w:rPr>
          <w:rFonts w:hint="eastAsia" w:ascii="仿宋" w:hAnsi="仿宋" w:eastAsia="仿宋"/>
          <w:color w:val="000000"/>
          <w:sz w:val="32"/>
          <w:szCs w:val="30"/>
          <w:lang w:val="en-US" w:eastAsia="zh-CN"/>
        </w:rPr>
        <w:t>63.75</w:t>
      </w:r>
      <w:r>
        <w:rPr>
          <w:rFonts w:hint="eastAsia" w:ascii="仿宋" w:hAnsi="仿宋" w:eastAsia="仿宋"/>
          <w:color w:val="000000"/>
          <w:sz w:val="32"/>
          <w:szCs w:val="30"/>
        </w:rPr>
        <w:t>万元，资本性支出</w:t>
      </w:r>
      <w:r>
        <w:rPr>
          <w:rFonts w:hint="eastAsia" w:ascii="仿宋" w:hAnsi="仿宋" w:eastAsia="仿宋"/>
          <w:color w:val="000000"/>
          <w:sz w:val="32"/>
          <w:szCs w:val="30"/>
          <w:lang w:val="en-US" w:eastAsia="zh-CN"/>
        </w:rPr>
        <w:t>3</w:t>
      </w:r>
      <w:r>
        <w:rPr>
          <w:rFonts w:hint="eastAsia" w:ascii="仿宋" w:hAnsi="仿宋" w:eastAsia="仿宋"/>
          <w:color w:val="000000"/>
          <w:sz w:val="32"/>
          <w:szCs w:val="30"/>
        </w:rPr>
        <w:t>0万元；项目支出0万元，较上年预算安排增加（减少）0万元，其中：工资福利支出0万元，商品和服务支出0万元，对个人和家庭补助支出0万元。</w:t>
      </w:r>
    </w:p>
    <w:p>
      <w:pPr>
        <w:widowControl/>
        <w:spacing w:line="600" w:lineRule="exact"/>
        <w:ind w:firstLine="640" w:firstLineChars="200"/>
        <w:jc w:val="left"/>
        <w:rPr>
          <w:rFonts w:ascii="仿宋" w:hAnsi="仿宋" w:eastAsia="仿宋"/>
          <w:color w:val="000000"/>
          <w:sz w:val="32"/>
          <w:szCs w:val="30"/>
        </w:rPr>
      </w:pPr>
      <w:r>
        <w:rPr>
          <w:rFonts w:hint="eastAsia" w:ascii="仿宋" w:hAnsi="仿宋" w:eastAsia="仿宋"/>
          <w:color w:val="000000"/>
          <w:sz w:val="32"/>
          <w:szCs w:val="30"/>
        </w:rPr>
        <w:t>按支出功能科目划分：</w:t>
      </w:r>
      <w:r>
        <w:rPr>
          <w:rFonts w:hint="eastAsia" w:ascii="仿宋" w:hAnsi="仿宋" w:eastAsia="仿宋"/>
          <w:color w:val="000000"/>
          <w:sz w:val="32"/>
          <w:szCs w:val="30"/>
          <w:lang w:val="en-US" w:eastAsia="zh-CN"/>
        </w:rPr>
        <w:t>一般公共服务</w:t>
      </w:r>
      <w:r>
        <w:rPr>
          <w:rFonts w:hint="eastAsia" w:ascii="仿宋" w:hAnsi="仿宋" w:eastAsia="仿宋"/>
          <w:color w:val="000000"/>
          <w:sz w:val="32"/>
          <w:szCs w:val="30"/>
        </w:rPr>
        <w:t>支出</w:t>
      </w:r>
      <w:r>
        <w:rPr>
          <w:rFonts w:hint="eastAsia" w:ascii="仿宋" w:hAnsi="仿宋" w:eastAsia="仿宋"/>
          <w:color w:val="000000"/>
          <w:sz w:val="32"/>
          <w:szCs w:val="30"/>
          <w:lang w:val="en-US" w:eastAsia="zh-CN"/>
        </w:rPr>
        <w:t>440.41</w:t>
      </w:r>
      <w:r>
        <w:rPr>
          <w:rFonts w:hint="eastAsia" w:ascii="仿宋" w:hAnsi="仿宋" w:eastAsia="仿宋"/>
          <w:color w:val="000000"/>
          <w:sz w:val="32"/>
          <w:szCs w:val="30"/>
        </w:rPr>
        <w:t>万元，较上年预算安排减少</w:t>
      </w:r>
      <w:r>
        <w:rPr>
          <w:rFonts w:hint="eastAsia" w:ascii="仿宋" w:hAnsi="仿宋" w:eastAsia="仿宋"/>
          <w:color w:val="000000"/>
          <w:sz w:val="32"/>
          <w:szCs w:val="30"/>
          <w:lang w:val="en-US" w:eastAsia="zh-CN"/>
        </w:rPr>
        <w:t>82.19</w:t>
      </w:r>
      <w:r>
        <w:rPr>
          <w:rFonts w:hint="eastAsia" w:ascii="仿宋" w:hAnsi="仿宋" w:eastAsia="仿宋"/>
          <w:color w:val="000000"/>
          <w:sz w:val="32"/>
          <w:szCs w:val="30"/>
        </w:rPr>
        <w:t>万元；社会保障和就业支出</w:t>
      </w:r>
      <w:r>
        <w:rPr>
          <w:rFonts w:hint="eastAsia" w:ascii="仿宋" w:hAnsi="仿宋" w:eastAsia="仿宋"/>
          <w:color w:val="000000"/>
          <w:sz w:val="32"/>
          <w:szCs w:val="30"/>
          <w:lang w:val="en-US" w:eastAsia="zh-CN"/>
        </w:rPr>
        <w:t>20.22</w:t>
      </w:r>
      <w:r>
        <w:rPr>
          <w:rFonts w:hint="eastAsia" w:ascii="仿宋" w:hAnsi="仿宋" w:eastAsia="仿宋"/>
          <w:color w:val="000000"/>
          <w:sz w:val="32"/>
          <w:szCs w:val="30"/>
        </w:rPr>
        <w:t>万元，较上年预算安排减少</w:t>
      </w:r>
      <w:r>
        <w:rPr>
          <w:rFonts w:hint="eastAsia" w:ascii="仿宋" w:hAnsi="仿宋" w:eastAsia="仿宋"/>
          <w:color w:val="000000"/>
          <w:sz w:val="32"/>
          <w:szCs w:val="30"/>
          <w:lang w:val="en-US" w:eastAsia="zh-CN"/>
        </w:rPr>
        <w:t>4.34</w:t>
      </w:r>
      <w:r>
        <w:rPr>
          <w:rFonts w:hint="eastAsia" w:ascii="仿宋" w:hAnsi="仿宋" w:eastAsia="仿宋"/>
          <w:color w:val="000000"/>
          <w:sz w:val="32"/>
          <w:szCs w:val="30"/>
        </w:rPr>
        <w:t>万元；</w:t>
      </w:r>
      <w:r>
        <w:rPr>
          <w:rFonts w:hint="eastAsia" w:ascii="仿宋" w:hAnsi="仿宋" w:eastAsia="仿宋"/>
          <w:color w:val="000000"/>
          <w:sz w:val="32"/>
          <w:szCs w:val="30"/>
          <w:lang w:val="en-US" w:eastAsia="zh-CN"/>
        </w:rPr>
        <w:t>卫生健康支出20.19万元，</w:t>
      </w:r>
      <w:r>
        <w:rPr>
          <w:rFonts w:hint="eastAsia" w:ascii="仿宋" w:hAnsi="仿宋" w:eastAsia="仿宋"/>
          <w:color w:val="000000"/>
          <w:sz w:val="32"/>
          <w:szCs w:val="30"/>
        </w:rPr>
        <w:t>较上年预算安排增加</w:t>
      </w:r>
      <w:r>
        <w:rPr>
          <w:rFonts w:hint="eastAsia" w:ascii="仿宋" w:hAnsi="仿宋" w:eastAsia="仿宋"/>
          <w:color w:val="000000"/>
          <w:sz w:val="32"/>
          <w:szCs w:val="30"/>
          <w:lang w:val="en-US" w:eastAsia="zh-CN"/>
        </w:rPr>
        <w:t>20.19</w:t>
      </w:r>
      <w:r>
        <w:rPr>
          <w:rFonts w:hint="eastAsia" w:ascii="仿宋" w:hAnsi="仿宋" w:eastAsia="仿宋"/>
          <w:color w:val="000000"/>
          <w:sz w:val="32"/>
          <w:szCs w:val="30"/>
        </w:rPr>
        <w:t>万元</w:t>
      </w:r>
      <w:r>
        <w:rPr>
          <w:rFonts w:hint="eastAsia" w:ascii="仿宋" w:hAnsi="仿宋" w:eastAsia="仿宋"/>
          <w:color w:val="000000"/>
          <w:sz w:val="32"/>
          <w:szCs w:val="30"/>
          <w:lang w:val="en-US" w:eastAsia="zh-CN"/>
        </w:rPr>
        <w:t>；住房保障支出15.17万元，</w:t>
      </w:r>
      <w:r>
        <w:rPr>
          <w:rFonts w:hint="eastAsia" w:ascii="仿宋" w:hAnsi="仿宋" w:eastAsia="仿宋"/>
          <w:color w:val="000000"/>
          <w:sz w:val="32"/>
          <w:szCs w:val="30"/>
        </w:rPr>
        <w:t>较上年预算安排</w:t>
      </w:r>
      <w:r>
        <w:rPr>
          <w:rFonts w:hint="eastAsia" w:ascii="仿宋" w:hAnsi="仿宋" w:eastAsia="仿宋"/>
          <w:color w:val="000000"/>
          <w:sz w:val="32"/>
          <w:szCs w:val="30"/>
          <w:lang w:val="en-US" w:eastAsia="zh-CN"/>
        </w:rPr>
        <w:t>减少3.85</w:t>
      </w:r>
      <w:r>
        <w:rPr>
          <w:rFonts w:hint="eastAsia" w:ascii="仿宋" w:hAnsi="仿宋" w:eastAsia="仿宋"/>
          <w:color w:val="000000"/>
          <w:sz w:val="32"/>
          <w:szCs w:val="30"/>
        </w:rPr>
        <w:t>万元。</w:t>
      </w:r>
    </w:p>
    <w:p>
      <w:pPr>
        <w:widowControl/>
        <w:spacing w:line="360" w:lineRule="auto"/>
        <w:ind w:firstLine="640"/>
        <w:rPr>
          <w:rFonts w:ascii="仿宋" w:hAnsi="仿宋" w:eastAsia="仿宋"/>
          <w:b/>
          <w:color w:val="000000"/>
          <w:sz w:val="32"/>
          <w:szCs w:val="32"/>
        </w:rPr>
      </w:pPr>
      <w:r>
        <w:rPr>
          <w:rFonts w:hint="eastAsia" w:ascii="仿宋" w:hAnsi="仿宋" w:eastAsia="仿宋"/>
          <w:color w:val="000000"/>
          <w:sz w:val="32"/>
          <w:szCs w:val="30"/>
        </w:rPr>
        <w:t>按支出经济分类划分：工资和福利支出</w:t>
      </w:r>
      <w:r>
        <w:rPr>
          <w:rFonts w:hint="eastAsia" w:ascii="仿宋" w:hAnsi="仿宋" w:eastAsia="仿宋"/>
          <w:color w:val="000000"/>
          <w:sz w:val="32"/>
          <w:szCs w:val="30"/>
          <w:lang w:val="en-US" w:eastAsia="zh-CN"/>
        </w:rPr>
        <w:t>260.43</w:t>
      </w:r>
      <w:r>
        <w:rPr>
          <w:rFonts w:hint="eastAsia" w:ascii="仿宋" w:hAnsi="仿宋" w:eastAsia="仿宋"/>
          <w:color w:val="000000"/>
          <w:sz w:val="32"/>
          <w:szCs w:val="30"/>
        </w:rPr>
        <w:t>万元，较上年预算安排减少</w:t>
      </w:r>
      <w:r>
        <w:rPr>
          <w:rFonts w:hint="eastAsia" w:ascii="仿宋" w:hAnsi="仿宋" w:eastAsia="仿宋"/>
          <w:color w:val="000000"/>
          <w:sz w:val="32"/>
          <w:szCs w:val="30"/>
          <w:lang w:val="en-US" w:eastAsia="zh-CN"/>
        </w:rPr>
        <w:t>185.55</w:t>
      </w:r>
      <w:r>
        <w:rPr>
          <w:rFonts w:hint="eastAsia" w:ascii="仿宋" w:hAnsi="仿宋" w:eastAsia="仿宋"/>
          <w:color w:val="000000"/>
          <w:sz w:val="32"/>
          <w:szCs w:val="30"/>
        </w:rPr>
        <w:t>万元；商品和服务支出1</w:t>
      </w:r>
      <w:r>
        <w:rPr>
          <w:rFonts w:hint="eastAsia" w:ascii="仿宋" w:hAnsi="仿宋" w:eastAsia="仿宋"/>
          <w:color w:val="000000"/>
          <w:sz w:val="32"/>
          <w:szCs w:val="30"/>
          <w:lang w:val="en-US" w:eastAsia="zh-CN"/>
        </w:rPr>
        <w:t>41.81</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增加70.89</w:t>
      </w:r>
      <w:r>
        <w:rPr>
          <w:rFonts w:hint="eastAsia" w:ascii="仿宋" w:hAnsi="仿宋" w:eastAsia="仿宋"/>
          <w:color w:val="000000"/>
          <w:sz w:val="32"/>
          <w:szCs w:val="30"/>
        </w:rPr>
        <w:t>万元；对个人和家庭补助支出</w:t>
      </w:r>
      <w:r>
        <w:rPr>
          <w:rFonts w:hint="eastAsia" w:ascii="仿宋" w:hAnsi="仿宋" w:eastAsia="仿宋"/>
          <w:color w:val="000000"/>
          <w:sz w:val="32"/>
          <w:szCs w:val="30"/>
          <w:lang w:val="en-US" w:eastAsia="zh-CN"/>
        </w:rPr>
        <w:t>63.75</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增加63.47</w:t>
      </w:r>
      <w:r>
        <w:rPr>
          <w:rFonts w:hint="eastAsia" w:ascii="仿宋" w:hAnsi="仿宋" w:eastAsia="仿宋"/>
          <w:color w:val="000000"/>
          <w:sz w:val="32"/>
          <w:szCs w:val="30"/>
        </w:rPr>
        <w:t>万元</w:t>
      </w:r>
      <w:r>
        <w:rPr>
          <w:rFonts w:hint="eastAsia" w:ascii="仿宋" w:hAnsi="仿宋" w:eastAsia="仿宋"/>
          <w:color w:val="000000"/>
          <w:sz w:val="32"/>
          <w:szCs w:val="30"/>
          <w:lang w:val="en-US" w:eastAsia="zh-CN"/>
        </w:rPr>
        <w:t>；</w:t>
      </w:r>
      <w:r>
        <w:rPr>
          <w:rFonts w:hint="eastAsia" w:ascii="仿宋" w:hAnsi="仿宋" w:eastAsia="仿宋"/>
          <w:color w:val="000000"/>
          <w:sz w:val="32"/>
          <w:szCs w:val="30"/>
        </w:rPr>
        <w:t>资本性支出</w:t>
      </w:r>
      <w:r>
        <w:rPr>
          <w:rFonts w:hint="eastAsia" w:ascii="仿宋" w:hAnsi="仿宋" w:eastAsia="仿宋"/>
          <w:color w:val="000000"/>
          <w:sz w:val="32"/>
          <w:szCs w:val="30"/>
          <w:lang w:val="en-US" w:eastAsia="zh-CN"/>
        </w:rPr>
        <w:t>3</w:t>
      </w:r>
      <w:r>
        <w:rPr>
          <w:rFonts w:hint="eastAsia" w:ascii="仿宋" w:hAnsi="仿宋" w:eastAsia="仿宋"/>
          <w:color w:val="000000"/>
          <w:sz w:val="32"/>
          <w:szCs w:val="30"/>
        </w:rPr>
        <w:t>0万元</w:t>
      </w:r>
      <w:r>
        <w:rPr>
          <w:rFonts w:hint="eastAsia" w:ascii="仿宋" w:hAnsi="仿宋" w:eastAsia="仿宋"/>
          <w:color w:val="000000"/>
          <w:sz w:val="32"/>
          <w:szCs w:val="30"/>
          <w:lang w:eastAsia="zh-CN"/>
        </w:rPr>
        <w:t>，</w:t>
      </w:r>
      <w:r>
        <w:rPr>
          <w:rFonts w:hint="eastAsia" w:ascii="仿宋" w:hAnsi="仿宋" w:eastAsia="仿宋"/>
          <w:color w:val="000000"/>
          <w:sz w:val="32"/>
          <w:szCs w:val="30"/>
        </w:rPr>
        <w:t>较上年预算安排</w:t>
      </w:r>
      <w:r>
        <w:rPr>
          <w:rFonts w:hint="eastAsia" w:ascii="仿宋" w:hAnsi="仿宋" w:eastAsia="仿宋"/>
          <w:color w:val="000000"/>
          <w:sz w:val="32"/>
          <w:szCs w:val="30"/>
          <w:lang w:val="en-US" w:eastAsia="zh-CN"/>
        </w:rPr>
        <w:t>减少19</w:t>
      </w:r>
      <w:r>
        <w:rPr>
          <w:rFonts w:hint="eastAsia" w:ascii="仿宋" w:hAnsi="仿宋" w:eastAsia="仿宋"/>
          <w:color w:val="000000"/>
          <w:sz w:val="32"/>
          <w:szCs w:val="30"/>
        </w:rPr>
        <w:t>万元。</w:t>
      </w:r>
    </w:p>
    <w:p>
      <w:pPr>
        <w:spacing w:line="560" w:lineRule="exact"/>
        <w:ind w:left="0" w:leftChars="0" w:firstLine="641" w:firstLineChars="228"/>
        <w:rPr>
          <w:rFonts w:hint="eastAsia" w:ascii="仿宋" w:hAnsi="仿宋" w:eastAsia="仿宋" w:cs="仿宋"/>
          <w:b/>
          <w:bCs/>
          <w:color w:val="000000"/>
          <w:sz w:val="28"/>
          <w:szCs w:val="28"/>
          <w:shd w:val="clear" w:color="auto" w:fill="FFFFFF"/>
          <w:lang w:val="en-US" w:eastAsia="zh-CN"/>
        </w:rPr>
      </w:pPr>
      <w:r>
        <w:rPr>
          <w:rFonts w:hint="eastAsia" w:ascii="仿宋" w:hAnsi="仿宋" w:eastAsia="仿宋" w:cs="仿宋"/>
          <w:b/>
          <w:bCs/>
          <w:color w:val="000000"/>
          <w:sz w:val="28"/>
          <w:szCs w:val="28"/>
          <w:shd w:val="clear" w:color="auto" w:fill="FFFFFF"/>
          <w:lang w:val="en-US" w:eastAsia="zh-CN"/>
        </w:rPr>
        <w:t>（三）财政拨款支出情况</w:t>
      </w:r>
    </w:p>
    <w:p>
      <w:pPr>
        <w:widowControl/>
        <w:spacing w:line="600" w:lineRule="exact"/>
        <w:ind w:firstLine="640"/>
        <w:rPr>
          <w:rFonts w:ascii="仿宋" w:hAnsi="仿宋" w:eastAsia="仿宋"/>
          <w:color w:val="000000"/>
          <w:sz w:val="32"/>
          <w:szCs w:val="30"/>
        </w:rPr>
      </w:pPr>
      <w:r>
        <w:rPr>
          <w:rFonts w:hint="eastAsia" w:ascii="仿宋_GB2312" w:hAnsi="宋体" w:eastAsia="仿宋_GB2312"/>
          <w:color w:val="000000"/>
          <w:sz w:val="32"/>
          <w:szCs w:val="32"/>
          <w:shd w:val="clear" w:color="auto" w:fill="FFFFFF"/>
          <w:lang w:val="en-US" w:eastAsia="zh-CN"/>
        </w:rPr>
        <w:t>2022</w:t>
      </w:r>
      <w:r>
        <w:rPr>
          <w:rFonts w:hint="eastAsia" w:ascii="仿宋_GB2312" w:hAnsi="宋体" w:eastAsia="仿宋_GB2312"/>
          <w:color w:val="000000"/>
          <w:sz w:val="32"/>
          <w:szCs w:val="32"/>
          <w:shd w:val="clear" w:color="auto" w:fill="FFFFFF"/>
        </w:rPr>
        <w:t>年</w:t>
      </w:r>
      <w:r>
        <w:rPr>
          <w:rFonts w:hint="eastAsia" w:ascii="仿宋_GB2312" w:hAnsi="宋体" w:eastAsia="仿宋_GB2312" w:cs="Times New Roman"/>
          <w:color w:val="000000"/>
          <w:sz w:val="32"/>
          <w:szCs w:val="32"/>
          <w:shd w:val="clear" w:color="auto" w:fill="FFFFFF"/>
          <w:lang w:val="en-US" w:eastAsia="zh-CN"/>
        </w:rPr>
        <w:t>安义县发展和改革委员会</w:t>
      </w:r>
      <w:r>
        <w:rPr>
          <w:rFonts w:hint="eastAsia" w:ascii="仿宋_GB2312" w:hAnsi="宋体" w:eastAsia="仿宋_GB2312"/>
          <w:color w:val="000000"/>
          <w:sz w:val="32"/>
          <w:szCs w:val="32"/>
          <w:shd w:val="clear" w:color="auto" w:fill="FFFFFF"/>
          <w:lang w:val="en-US" w:eastAsia="zh-CN"/>
        </w:rPr>
        <w:t>财政拨款支出预算总额495.99万元，</w:t>
      </w:r>
      <w:r>
        <w:rPr>
          <w:rFonts w:hint="eastAsia" w:ascii="仿宋" w:hAnsi="仿宋" w:eastAsia="仿宋"/>
          <w:color w:val="000000"/>
          <w:sz w:val="32"/>
          <w:szCs w:val="30"/>
        </w:rPr>
        <w:t>较上年预算安排减少</w:t>
      </w:r>
      <w:r>
        <w:rPr>
          <w:rFonts w:hint="eastAsia" w:ascii="仿宋" w:hAnsi="仿宋" w:eastAsia="仿宋"/>
          <w:color w:val="000000"/>
          <w:sz w:val="32"/>
          <w:szCs w:val="30"/>
          <w:lang w:val="en-US" w:eastAsia="zh-CN"/>
        </w:rPr>
        <w:t>70.8</w:t>
      </w:r>
      <w:r>
        <w:rPr>
          <w:rFonts w:hint="eastAsia" w:ascii="仿宋" w:hAnsi="仿宋" w:eastAsia="仿宋"/>
          <w:color w:val="000000"/>
          <w:sz w:val="32"/>
          <w:szCs w:val="30"/>
        </w:rPr>
        <w:t>1万元</w:t>
      </w:r>
      <w:r>
        <w:rPr>
          <w:rFonts w:hint="eastAsia" w:ascii="仿宋" w:hAnsi="仿宋" w:eastAsia="仿宋"/>
          <w:color w:val="000000"/>
          <w:sz w:val="32"/>
          <w:szCs w:val="30"/>
          <w:lang w:eastAsia="zh-CN"/>
        </w:rPr>
        <w:t>。</w:t>
      </w:r>
      <w:r>
        <w:rPr>
          <w:rFonts w:hint="eastAsia" w:ascii="仿宋" w:hAnsi="仿宋" w:eastAsia="仿宋"/>
          <w:color w:val="000000"/>
          <w:sz w:val="32"/>
          <w:szCs w:val="30"/>
        </w:rPr>
        <w:t xml:space="preserve"> 其中：</w:t>
      </w:r>
    </w:p>
    <w:p>
      <w:pPr>
        <w:widowControl/>
        <w:spacing w:line="360" w:lineRule="auto"/>
        <w:ind w:firstLine="640"/>
        <w:rPr>
          <w:rFonts w:ascii="仿宋" w:hAnsi="仿宋" w:eastAsia="仿宋"/>
          <w:color w:val="000000"/>
          <w:sz w:val="32"/>
          <w:szCs w:val="30"/>
        </w:rPr>
      </w:pPr>
      <w:r>
        <w:rPr>
          <w:rFonts w:hint="eastAsia" w:ascii="仿宋" w:hAnsi="仿宋" w:eastAsia="仿宋"/>
          <w:color w:val="000000"/>
          <w:sz w:val="32"/>
          <w:szCs w:val="30"/>
        </w:rPr>
        <w:t>按支出功能科目划分：</w:t>
      </w:r>
      <w:r>
        <w:rPr>
          <w:rFonts w:hint="eastAsia" w:ascii="仿宋" w:hAnsi="仿宋" w:eastAsia="仿宋"/>
          <w:color w:val="000000"/>
          <w:sz w:val="32"/>
          <w:szCs w:val="30"/>
          <w:lang w:val="en-US" w:eastAsia="zh-CN"/>
        </w:rPr>
        <w:t>一般公共服务</w:t>
      </w:r>
      <w:r>
        <w:rPr>
          <w:rFonts w:hint="eastAsia" w:ascii="仿宋" w:hAnsi="仿宋" w:eastAsia="仿宋"/>
          <w:color w:val="000000"/>
          <w:sz w:val="32"/>
          <w:szCs w:val="30"/>
        </w:rPr>
        <w:t>支出</w:t>
      </w:r>
      <w:r>
        <w:rPr>
          <w:rFonts w:hint="eastAsia" w:ascii="仿宋" w:hAnsi="仿宋" w:eastAsia="仿宋"/>
          <w:color w:val="000000"/>
          <w:sz w:val="32"/>
          <w:szCs w:val="30"/>
          <w:lang w:val="en-US" w:eastAsia="zh-CN"/>
        </w:rPr>
        <w:t>440.41</w:t>
      </w:r>
      <w:r>
        <w:rPr>
          <w:rFonts w:hint="eastAsia" w:ascii="仿宋" w:hAnsi="仿宋" w:eastAsia="仿宋"/>
          <w:color w:val="000000"/>
          <w:sz w:val="32"/>
          <w:szCs w:val="30"/>
        </w:rPr>
        <w:t>万元，社会保障和就业支出</w:t>
      </w:r>
      <w:r>
        <w:rPr>
          <w:rFonts w:hint="eastAsia" w:ascii="仿宋" w:hAnsi="仿宋" w:eastAsia="仿宋"/>
          <w:color w:val="000000"/>
          <w:sz w:val="32"/>
          <w:szCs w:val="30"/>
          <w:lang w:val="en-US" w:eastAsia="zh-CN"/>
        </w:rPr>
        <w:t>20.22</w:t>
      </w:r>
      <w:r>
        <w:rPr>
          <w:rFonts w:hint="eastAsia" w:ascii="仿宋" w:hAnsi="仿宋" w:eastAsia="仿宋"/>
          <w:color w:val="000000"/>
          <w:sz w:val="32"/>
          <w:szCs w:val="30"/>
        </w:rPr>
        <w:t>万元，</w:t>
      </w:r>
      <w:r>
        <w:rPr>
          <w:rFonts w:hint="eastAsia" w:ascii="仿宋" w:hAnsi="仿宋" w:eastAsia="仿宋"/>
          <w:color w:val="000000"/>
          <w:sz w:val="32"/>
          <w:szCs w:val="30"/>
          <w:lang w:val="en-US" w:eastAsia="zh-CN"/>
        </w:rPr>
        <w:t>卫生健康支出20.19万元，</w:t>
      </w:r>
      <w:r>
        <w:rPr>
          <w:rFonts w:hint="eastAsia" w:ascii="仿宋" w:hAnsi="仿宋" w:eastAsia="仿宋"/>
          <w:color w:val="000000"/>
          <w:sz w:val="32"/>
          <w:szCs w:val="30"/>
        </w:rPr>
        <w:t>较上年预算安排增加</w:t>
      </w:r>
      <w:r>
        <w:rPr>
          <w:rFonts w:hint="eastAsia" w:ascii="仿宋" w:hAnsi="仿宋" w:eastAsia="仿宋"/>
          <w:color w:val="000000"/>
          <w:sz w:val="32"/>
          <w:szCs w:val="30"/>
          <w:lang w:val="en-US" w:eastAsia="zh-CN"/>
        </w:rPr>
        <w:t>20.19</w:t>
      </w:r>
      <w:r>
        <w:rPr>
          <w:rFonts w:hint="eastAsia" w:ascii="仿宋" w:hAnsi="仿宋" w:eastAsia="仿宋"/>
          <w:color w:val="000000"/>
          <w:sz w:val="32"/>
          <w:szCs w:val="30"/>
        </w:rPr>
        <w:t>万元</w:t>
      </w:r>
      <w:r>
        <w:rPr>
          <w:rFonts w:hint="eastAsia" w:ascii="仿宋" w:hAnsi="仿宋" w:eastAsia="仿宋"/>
          <w:color w:val="000000"/>
          <w:sz w:val="32"/>
          <w:szCs w:val="30"/>
          <w:lang w:val="en-US" w:eastAsia="zh-CN"/>
        </w:rPr>
        <w:t>住房保障支出15.17万元</w:t>
      </w:r>
      <w:r>
        <w:rPr>
          <w:rFonts w:hint="eastAsia" w:ascii="仿宋" w:hAnsi="仿宋" w:eastAsia="仿宋"/>
          <w:color w:val="000000"/>
          <w:sz w:val="32"/>
          <w:szCs w:val="30"/>
        </w:rPr>
        <w:t>。</w:t>
      </w:r>
    </w:p>
    <w:p>
      <w:pPr>
        <w:widowControl/>
        <w:spacing w:line="360" w:lineRule="auto"/>
        <w:ind w:firstLine="640"/>
        <w:rPr>
          <w:rFonts w:ascii="仿宋" w:hAnsi="仿宋" w:eastAsia="仿宋"/>
          <w:b/>
          <w:color w:val="000000"/>
          <w:sz w:val="32"/>
          <w:szCs w:val="30"/>
        </w:rPr>
      </w:pPr>
      <w:r>
        <w:rPr>
          <w:rFonts w:hint="eastAsia" w:ascii="仿宋" w:hAnsi="仿宋" w:eastAsia="仿宋"/>
          <w:color w:val="000000"/>
          <w:sz w:val="32"/>
          <w:szCs w:val="30"/>
        </w:rPr>
        <w:t>按支出项目类别划分：基本支出</w:t>
      </w:r>
      <w:r>
        <w:rPr>
          <w:rFonts w:hint="eastAsia" w:ascii="仿宋_GB2312" w:hAnsi="宋体" w:eastAsia="仿宋_GB2312"/>
          <w:color w:val="000000"/>
          <w:sz w:val="32"/>
          <w:szCs w:val="32"/>
          <w:shd w:val="clear" w:color="auto" w:fill="FFFFFF"/>
          <w:lang w:val="en-US" w:eastAsia="zh-CN"/>
        </w:rPr>
        <w:t>495.99</w:t>
      </w:r>
      <w:r>
        <w:rPr>
          <w:rFonts w:hint="eastAsia" w:ascii="仿宋" w:hAnsi="仿宋" w:eastAsia="仿宋"/>
          <w:color w:val="000000"/>
          <w:sz w:val="32"/>
          <w:szCs w:val="30"/>
        </w:rPr>
        <w:t>万元，较上年预算安排减少</w:t>
      </w:r>
      <w:r>
        <w:rPr>
          <w:rFonts w:hint="eastAsia" w:ascii="仿宋" w:hAnsi="仿宋" w:eastAsia="仿宋"/>
          <w:color w:val="000000"/>
          <w:sz w:val="32"/>
          <w:szCs w:val="30"/>
          <w:lang w:val="en-US" w:eastAsia="zh-CN"/>
        </w:rPr>
        <w:t>70.8</w:t>
      </w:r>
      <w:r>
        <w:rPr>
          <w:rFonts w:hint="eastAsia" w:ascii="仿宋" w:hAnsi="仿宋" w:eastAsia="仿宋"/>
          <w:color w:val="000000"/>
          <w:sz w:val="32"/>
          <w:szCs w:val="30"/>
        </w:rPr>
        <w:t>1万元，其中：工资福利支出</w:t>
      </w:r>
      <w:r>
        <w:rPr>
          <w:rFonts w:hint="eastAsia" w:ascii="仿宋" w:hAnsi="仿宋" w:eastAsia="仿宋"/>
          <w:color w:val="000000"/>
          <w:sz w:val="32"/>
          <w:szCs w:val="30"/>
          <w:lang w:val="en-US" w:eastAsia="zh-CN"/>
        </w:rPr>
        <w:t>260.43</w:t>
      </w:r>
      <w:r>
        <w:rPr>
          <w:rFonts w:hint="eastAsia" w:ascii="仿宋" w:hAnsi="仿宋" w:eastAsia="仿宋"/>
          <w:color w:val="000000"/>
          <w:sz w:val="32"/>
          <w:szCs w:val="30"/>
        </w:rPr>
        <w:t>万元，商品和服务支出1</w:t>
      </w:r>
      <w:r>
        <w:rPr>
          <w:rFonts w:hint="eastAsia" w:ascii="仿宋" w:hAnsi="仿宋" w:eastAsia="仿宋"/>
          <w:color w:val="000000"/>
          <w:sz w:val="32"/>
          <w:szCs w:val="30"/>
          <w:lang w:val="en-US" w:eastAsia="zh-CN"/>
        </w:rPr>
        <w:t>41.81</w:t>
      </w:r>
      <w:r>
        <w:rPr>
          <w:rFonts w:hint="eastAsia" w:ascii="仿宋" w:hAnsi="仿宋" w:eastAsia="仿宋"/>
          <w:color w:val="000000"/>
          <w:sz w:val="32"/>
          <w:szCs w:val="30"/>
        </w:rPr>
        <w:t>万元，对个人和家庭补助支出</w:t>
      </w:r>
      <w:r>
        <w:rPr>
          <w:rFonts w:hint="eastAsia" w:ascii="仿宋" w:hAnsi="仿宋" w:eastAsia="仿宋"/>
          <w:color w:val="000000"/>
          <w:sz w:val="32"/>
          <w:szCs w:val="30"/>
          <w:lang w:val="en-US" w:eastAsia="zh-CN"/>
        </w:rPr>
        <w:t>63.75</w:t>
      </w:r>
      <w:r>
        <w:rPr>
          <w:rFonts w:hint="eastAsia" w:ascii="仿宋" w:hAnsi="仿宋" w:eastAsia="仿宋"/>
          <w:color w:val="000000"/>
          <w:sz w:val="32"/>
          <w:szCs w:val="30"/>
        </w:rPr>
        <w:t>万元，资本性支出</w:t>
      </w:r>
      <w:r>
        <w:rPr>
          <w:rFonts w:hint="eastAsia" w:ascii="仿宋" w:hAnsi="仿宋" w:eastAsia="仿宋"/>
          <w:color w:val="000000"/>
          <w:sz w:val="32"/>
          <w:szCs w:val="30"/>
          <w:u w:val="single"/>
        </w:rPr>
        <w:t xml:space="preserve">   </w:t>
      </w:r>
      <w:r>
        <w:rPr>
          <w:rFonts w:hint="eastAsia" w:ascii="仿宋" w:hAnsi="仿宋" w:eastAsia="仿宋"/>
          <w:color w:val="000000"/>
          <w:sz w:val="32"/>
          <w:szCs w:val="30"/>
          <w:u w:val="single"/>
          <w:lang w:val="en-US" w:eastAsia="zh-CN"/>
        </w:rPr>
        <w:t>3</w:t>
      </w:r>
      <w:r>
        <w:rPr>
          <w:rFonts w:hint="eastAsia" w:ascii="仿宋" w:hAnsi="仿宋" w:eastAsia="仿宋"/>
          <w:color w:val="000000"/>
          <w:sz w:val="32"/>
          <w:szCs w:val="30"/>
          <w:u w:val="single"/>
        </w:rPr>
        <w:t xml:space="preserve">0  </w:t>
      </w:r>
      <w:r>
        <w:rPr>
          <w:rFonts w:hint="eastAsia" w:ascii="仿宋" w:hAnsi="仿宋" w:eastAsia="仿宋"/>
          <w:color w:val="000000"/>
          <w:sz w:val="32"/>
          <w:szCs w:val="30"/>
        </w:rPr>
        <w:t>万元；项目支出0万元，较上年预算安排增加（减少）0万元，包括：工资福利支出0万元，商品和服务支出0万元，对个人和家庭补助支出0万元。</w:t>
      </w:r>
    </w:p>
    <w:p>
      <w:pPr>
        <w:widowControl/>
        <w:spacing w:line="600" w:lineRule="exact"/>
        <w:ind w:firstLine="640"/>
        <w:jc w:val="left"/>
        <w:rPr>
          <w:rFonts w:ascii="仿宋" w:hAnsi="仿宋" w:eastAsia="仿宋"/>
          <w:b/>
          <w:color w:val="000000"/>
          <w:sz w:val="32"/>
          <w:szCs w:val="32"/>
        </w:rPr>
      </w:pPr>
      <w:r>
        <w:rPr>
          <w:rFonts w:hint="eastAsia" w:ascii="仿宋" w:hAnsi="仿宋" w:eastAsia="仿宋"/>
          <w:b/>
          <w:color w:val="000000"/>
          <w:sz w:val="32"/>
          <w:szCs w:val="32"/>
        </w:rPr>
        <w:t>（四）政府性基金情况</w:t>
      </w:r>
    </w:p>
    <w:p>
      <w:pPr>
        <w:widowControl/>
        <w:spacing w:line="600" w:lineRule="exact"/>
        <w:ind w:firstLine="640"/>
        <w:jc w:val="left"/>
        <w:rPr>
          <w:rFonts w:ascii="仿宋" w:hAnsi="仿宋" w:eastAsia="仿宋"/>
          <w:color w:val="000000"/>
          <w:sz w:val="32"/>
          <w:szCs w:val="32"/>
        </w:rPr>
      </w:pPr>
      <w:r>
        <w:rPr>
          <w:rFonts w:hint="eastAsia" w:ascii="仿宋" w:hAnsi="仿宋" w:eastAsia="仿宋"/>
          <w:color w:val="000000"/>
          <w:sz w:val="32"/>
          <w:szCs w:val="32"/>
        </w:rPr>
        <w:t>2022年</w:t>
      </w:r>
      <w:r>
        <w:rPr>
          <w:rFonts w:hint="eastAsia" w:ascii="仿宋_GB2312" w:hAnsi="宋体" w:eastAsia="仿宋_GB2312" w:cs="Times New Roman"/>
          <w:color w:val="000000"/>
          <w:sz w:val="32"/>
          <w:szCs w:val="32"/>
          <w:shd w:val="clear" w:color="auto" w:fill="FFFFFF"/>
          <w:lang w:val="en-US" w:eastAsia="zh-CN"/>
        </w:rPr>
        <w:t>安义县发展和改革委员会</w:t>
      </w:r>
      <w:r>
        <w:rPr>
          <w:rFonts w:hint="eastAsia" w:ascii="仿宋" w:hAnsi="仿宋" w:eastAsia="仿宋"/>
          <w:color w:val="000000"/>
          <w:sz w:val="32"/>
          <w:szCs w:val="32"/>
        </w:rPr>
        <w:t>预算没有使用政府性基金预算拨款安排的支出。</w:t>
      </w:r>
    </w:p>
    <w:p>
      <w:pPr>
        <w:widowControl/>
        <w:spacing w:line="600" w:lineRule="exact"/>
        <w:ind w:firstLine="640"/>
        <w:jc w:val="left"/>
        <w:rPr>
          <w:rFonts w:ascii="仿宋" w:hAnsi="仿宋" w:eastAsia="仿宋"/>
          <w:b/>
          <w:color w:val="000000"/>
          <w:sz w:val="32"/>
          <w:szCs w:val="32"/>
        </w:rPr>
      </w:pPr>
      <w:r>
        <w:rPr>
          <w:rFonts w:hint="eastAsia" w:ascii="仿宋" w:hAnsi="仿宋" w:eastAsia="仿宋"/>
          <w:b/>
          <w:color w:val="000000"/>
          <w:sz w:val="32"/>
          <w:szCs w:val="32"/>
        </w:rPr>
        <w:t>（五）国有资本经营情况</w:t>
      </w:r>
    </w:p>
    <w:p>
      <w:pPr>
        <w:widowControl/>
        <w:spacing w:line="600" w:lineRule="exact"/>
        <w:ind w:firstLine="640"/>
        <w:jc w:val="left"/>
        <w:rPr>
          <w:rFonts w:ascii="仿宋" w:hAnsi="仿宋" w:eastAsia="仿宋"/>
          <w:color w:val="000000"/>
          <w:sz w:val="32"/>
          <w:szCs w:val="32"/>
        </w:rPr>
      </w:pPr>
      <w:r>
        <w:rPr>
          <w:rFonts w:hint="eastAsia" w:ascii="仿宋" w:hAnsi="仿宋" w:eastAsia="仿宋"/>
          <w:color w:val="000000"/>
          <w:sz w:val="32"/>
          <w:szCs w:val="32"/>
        </w:rPr>
        <w:t>2022年</w:t>
      </w:r>
      <w:r>
        <w:rPr>
          <w:rFonts w:hint="eastAsia" w:ascii="仿宋_GB2312" w:hAnsi="宋体" w:eastAsia="仿宋_GB2312" w:cs="Times New Roman"/>
          <w:color w:val="000000"/>
          <w:sz w:val="32"/>
          <w:szCs w:val="32"/>
          <w:shd w:val="clear" w:color="auto" w:fill="FFFFFF"/>
          <w:lang w:val="en-US" w:eastAsia="zh-CN"/>
        </w:rPr>
        <w:t>安义县发展和改革委员会</w:t>
      </w:r>
      <w:r>
        <w:rPr>
          <w:rFonts w:hint="eastAsia" w:ascii="仿宋" w:hAnsi="仿宋" w:eastAsia="仿宋"/>
          <w:color w:val="000000"/>
          <w:sz w:val="32"/>
          <w:szCs w:val="32"/>
        </w:rPr>
        <w:t>预算没有使用国有资本经营预算拨款安排的支出。</w:t>
      </w:r>
    </w:p>
    <w:p>
      <w:pPr>
        <w:widowControl/>
        <w:spacing w:line="600" w:lineRule="exact"/>
        <w:ind w:firstLine="640"/>
        <w:jc w:val="left"/>
        <w:rPr>
          <w:rFonts w:ascii="仿宋" w:hAnsi="仿宋" w:eastAsia="仿宋"/>
          <w:b/>
          <w:color w:val="000000"/>
          <w:sz w:val="32"/>
          <w:szCs w:val="32"/>
        </w:rPr>
      </w:pPr>
      <w:r>
        <w:rPr>
          <w:rFonts w:hint="eastAsia" w:ascii="仿宋" w:hAnsi="仿宋" w:eastAsia="仿宋"/>
          <w:b/>
          <w:color w:val="000000"/>
          <w:sz w:val="32"/>
          <w:szCs w:val="32"/>
        </w:rPr>
        <w:t>（六）机关运行经费等重要事项的说明</w:t>
      </w:r>
    </w:p>
    <w:p>
      <w:pPr>
        <w:widowControl/>
        <w:spacing w:line="600" w:lineRule="exact"/>
        <w:ind w:firstLine="636"/>
        <w:jc w:val="left"/>
        <w:rPr>
          <w:rFonts w:ascii="仿宋" w:hAnsi="仿宋" w:eastAsia="仿宋"/>
          <w:color w:val="000000"/>
          <w:sz w:val="32"/>
          <w:szCs w:val="32"/>
          <w:u w:val="single"/>
        </w:rPr>
      </w:pPr>
      <w:r>
        <w:rPr>
          <w:rFonts w:hint="eastAsia" w:ascii="仿宋" w:hAnsi="仿宋" w:eastAsia="仿宋"/>
          <w:color w:val="000000"/>
          <w:sz w:val="32"/>
          <w:szCs w:val="32"/>
        </w:rPr>
        <w:t>2022年</w:t>
      </w:r>
      <w:r>
        <w:rPr>
          <w:rFonts w:hint="eastAsia" w:ascii="仿宋" w:hAnsi="仿宋" w:eastAsia="仿宋"/>
          <w:color w:val="000000"/>
          <w:sz w:val="32"/>
          <w:szCs w:val="32"/>
          <w:lang w:eastAsia="zh-CN"/>
        </w:rPr>
        <w:t>部门</w:t>
      </w:r>
      <w:r>
        <w:rPr>
          <w:rFonts w:hint="eastAsia" w:ascii="仿宋" w:hAnsi="仿宋" w:eastAsia="仿宋"/>
          <w:color w:val="000000"/>
          <w:sz w:val="32"/>
          <w:szCs w:val="32"/>
        </w:rPr>
        <w:t>机关运行费预算</w:t>
      </w:r>
      <w:r>
        <w:rPr>
          <w:rFonts w:hint="eastAsia" w:ascii="仿宋" w:hAnsi="仿宋" w:eastAsia="仿宋"/>
          <w:color w:val="000000"/>
          <w:sz w:val="32"/>
          <w:szCs w:val="32"/>
          <w:u w:val="single"/>
        </w:rPr>
        <w:t xml:space="preserve"> 1</w:t>
      </w:r>
      <w:r>
        <w:rPr>
          <w:rFonts w:hint="eastAsia" w:ascii="仿宋" w:hAnsi="仿宋" w:eastAsia="仿宋"/>
          <w:color w:val="000000"/>
          <w:sz w:val="32"/>
          <w:szCs w:val="32"/>
          <w:u w:val="single"/>
          <w:lang w:val="en-US" w:eastAsia="zh-CN"/>
        </w:rPr>
        <w:t>41.81</w:t>
      </w:r>
      <w:r>
        <w:rPr>
          <w:rFonts w:hint="eastAsia" w:ascii="仿宋" w:hAnsi="仿宋" w:eastAsia="仿宋"/>
          <w:color w:val="000000"/>
          <w:sz w:val="32"/>
          <w:szCs w:val="32"/>
          <w:u w:val="single"/>
        </w:rPr>
        <w:t xml:space="preserve"> </w:t>
      </w:r>
      <w:r>
        <w:rPr>
          <w:rFonts w:hint="eastAsia" w:ascii="仿宋" w:hAnsi="仿宋" w:eastAsia="仿宋"/>
          <w:color w:val="000000"/>
          <w:sz w:val="32"/>
          <w:szCs w:val="32"/>
        </w:rPr>
        <w:t>万元，比2021年预算</w:t>
      </w:r>
      <w:r>
        <w:rPr>
          <w:rFonts w:hint="eastAsia" w:ascii="仿宋" w:hAnsi="仿宋" w:eastAsia="仿宋"/>
          <w:color w:val="000000"/>
          <w:sz w:val="32"/>
          <w:szCs w:val="32"/>
          <w:lang w:val="en-US" w:eastAsia="zh-CN"/>
        </w:rPr>
        <w:t>增加</w:t>
      </w:r>
      <w:r>
        <w:rPr>
          <w:rFonts w:hint="eastAsia" w:ascii="仿宋" w:hAnsi="仿宋" w:eastAsia="仿宋"/>
          <w:color w:val="000000"/>
          <w:sz w:val="32"/>
          <w:szCs w:val="32"/>
          <w:u w:val="single"/>
        </w:rPr>
        <w:t xml:space="preserve"> </w:t>
      </w:r>
      <w:r>
        <w:rPr>
          <w:rFonts w:hint="eastAsia" w:ascii="仿宋" w:hAnsi="仿宋" w:eastAsia="仿宋"/>
          <w:color w:val="000000"/>
          <w:sz w:val="32"/>
          <w:szCs w:val="32"/>
          <w:u w:val="single"/>
          <w:lang w:val="en-US" w:eastAsia="zh-CN"/>
        </w:rPr>
        <w:t>70.89</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增长</w:t>
      </w:r>
      <w:r>
        <w:rPr>
          <w:rFonts w:hint="eastAsia" w:ascii="仿宋" w:hAnsi="仿宋" w:eastAsia="仿宋"/>
          <w:color w:val="000000"/>
          <w:sz w:val="32"/>
          <w:szCs w:val="32"/>
          <w:u w:val="single"/>
        </w:rPr>
        <w:t xml:space="preserve"> </w:t>
      </w:r>
      <w:r>
        <w:rPr>
          <w:rFonts w:hint="eastAsia" w:ascii="仿宋" w:hAnsi="仿宋" w:eastAsia="仿宋"/>
          <w:color w:val="000000"/>
          <w:sz w:val="32"/>
          <w:szCs w:val="32"/>
          <w:u w:val="single"/>
          <w:lang w:val="en-US" w:eastAsia="zh-CN"/>
        </w:rPr>
        <w:t>99.9</w:t>
      </w:r>
      <w:r>
        <w:rPr>
          <w:rFonts w:hint="eastAsia" w:ascii="仿宋" w:hAnsi="仿宋" w:eastAsia="仿宋"/>
          <w:color w:val="000000"/>
          <w:sz w:val="32"/>
          <w:szCs w:val="32"/>
          <w:u w:val="single"/>
        </w:rPr>
        <w:t xml:space="preserve">6 </w:t>
      </w:r>
      <w:r>
        <w:rPr>
          <w:rFonts w:hint="eastAsia" w:ascii="仿宋" w:hAnsi="仿宋" w:eastAsia="仿宋"/>
          <w:color w:val="000000"/>
          <w:sz w:val="32"/>
          <w:szCs w:val="32"/>
        </w:rPr>
        <w:t>%。</w:t>
      </w:r>
    </w:p>
    <w:p>
      <w:pPr>
        <w:widowControl/>
        <w:spacing w:line="360" w:lineRule="auto"/>
        <w:ind w:firstLine="636"/>
        <w:jc w:val="left"/>
        <w:rPr>
          <w:rFonts w:ascii="仿宋" w:hAnsi="仿宋" w:eastAsia="仿宋"/>
          <w:color w:val="000000"/>
          <w:sz w:val="32"/>
          <w:szCs w:val="30"/>
        </w:rPr>
      </w:pPr>
      <w:r>
        <w:rPr>
          <w:rFonts w:hint="eastAsia" w:ascii="仿宋" w:hAnsi="仿宋" w:eastAsia="仿宋"/>
          <w:color w:val="000000"/>
          <w:sz w:val="32"/>
          <w:szCs w:val="30"/>
        </w:rPr>
        <w:t>按照财政部《地方预决算公开操作规程》明确的口径，机关运行费指各</w:t>
      </w:r>
      <w:r>
        <w:rPr>
          <w:rFonts w:hint="eastAsia" w:ascii="仿宋" w:hAnsi="仿宋" w:eastAsia="仿宋"/>
          <w:color w:val="000000"/>
          <w:sz w:val="32"/>
          <w:szCs w:val="30"/>
          <w:lang w:eastAsia="zh-CN"/>
        </w:rPr>
        <w:t>部门</w:t>
      </w:r>
      <w:r>
        <w:rPr>
          <w:rFonts w:hint="eastAsia" w:ascii="仿宋" w:hAnsi="仿宋" w:eastAsia="仿宋"/>
          <w:color w:val="000000"/>
          <w:sz w:val="32"/>
          <w:szCs w:val="30"/>
        </w:rPr>
        <w:t>的公用经费，包括办公及印刷费、邮电费、差旅费、会议费、福利费、日常维修费、专用材料及一般设备购置费、办公用房水电费、办公用房取暖费、办公用房物业管理费、公务用车运行维护费以及其他费用。</w:t>
      </w:r>
    </w:p>
    <w:p>
      <w:pPr>
        <w:widowControl/>
        <w:spacing w:line="600" w:lineRule="exact"/>
        <w:ind w:firstLine="640"/>
        <w:jc w:val="left"/>
        <w:rPr>
          <w:rFonts w:ascii="仿宋" w:hAnsi="仿宋" w:eastAsia="仿宋"/>
          <w:b/>
          <w:color w:val="000000"/>
          <w:sz w:val="32"/>
          <w:szCs w:val="32"/>
        </w:rPr>
      </w:pPr>
      <w:r>
        <w:rPr>
          <w:rFonts w:hint="eastAsia" w:ascii="仿宋" w:hAnsi="仿宋" w:eastAsia="仿宋"/>
          <w:b/>
          <w:color w:val="000000"/>
          <w:sz w:val="32"/>
          <w:szCs w:val="32"/>
        </w:rPr>
        <w:t>（七）政府采购情况</w:t>
      </w:r>
    </w:p>
    <w:p>
      <w:pPr>
        <w:widowControl/>
        <w:spacing w:line="600" w:lineRule="exact"/>
        <w:ind w:firstLine="800" w:firstLineChars="250"/>
        <w:jc w:val="left"/>
        <w:rPr>
          <w:rFonts w:ascii="仿宋" w:hAnsi="仿宋" w:eastAsia="仿宋"/>
          <w:color w:val="000000"/>
          <w:sz w:val="32"/>
          <w:szCs w:val="32"/>
        </w:rPr>
      </w:pPr>
      <w:r>
        <w:rPr>
          <w:rFonts w:hint="eastAsia" w:ascii="仿宋" w:hAnsi="仿宋" w:eastAsia="仿宋"/>
          <w:color w:val="000000"/>
          <w:sz w:val="32"/>
          <w:szCs w:val="32"/>
        </w:rPr>
        <w:t>2022年</w:t>
      </w:r>
      <w:r>
        <w:rPr>
          <w:rFonts w:hint="eastAsia" w:ascii="仿宋" w:hAnsi="仿宋" w:eastAsia="仿宋"/>
          <w:color w:val="000000"/>
          <w:sz w:val="32"/>
          <w:szCs w:val="32"/>
          <w:lang w:eastAsia="zh-CN"/>
        </w:rPr>
        <w:t>部门</w:t>
      </w:r>
      <w:r>
        <w:rPr>
          <w:rFonts w:hint="eastAsia" w:ascii="仿宋" w:hAnsi="仿宋" w:eastAsia="仿宋"/>
          <w:color w:val="000000"/>
          <w:sz w:val="32"/>
          <w:szCs w:val="32"/>
        </w:rPr>
        <w:t>所属各</w:t>
      </w:r>
      <w:r>
        <w:rPr>
          <w:rFonts w:hint="eastAsia" w:ascii="仿宋" w:hAnsi="仿宋" w:eastAsia="仿宋"/>
          <w:color w:val="000000"/>
          <w:sz w:val="32"/>
          <w:szCs w:val="32"/>
          <w:lang w:val="en-US" w:eastAsia="zh-CN"/>
        </w:rPr>
        <w:t>单位</w:t>
      </w:r>
      <w:r>
        <w:rPr>
          <w:rFonts w:hint="eastAsia" w:ascii="仿宋" w:hAnsi="仿宋" w:eastAsia="仿宋"/>
          <w:color w:val="000000"/>
          <w:sz w:val="32"/>
          <w:szCs w:val="32"/>
        </w:rPr>
        <w:t>政府采购总额</w:t>
      </w:r>
      <w:r>
        <w:rPr>
          <w:rFonts w:hint="eastAsia" w:ascii="仿宋" w:hAnsi="仿宋" w:eastAsia="仿宋"/>
          <w:color w:val="000000"/>
          <w:sz w:val="32"/>
          <w:szCs w:val="32"/>
          <w:u w:val="single"/>
        </w:rPr>
        <w:t xml:space="preserve">  </w:t>
      </w:r>
      <w:r>
        <w:rPr>
          <w:rFonts w:hint="eastAsia" w:ascii="仿宋" w:hAnsi="仿宋" w:eastAsia="仿宋"/>
          <w:color w:val="000000"/>
          <w:sz w:val="32"/>
          <w:szCs w:val="32"/>
          <w:u w:val="single"/>
          <w:lang w:val="en-US" w:eastAsia="zh-CN"/>
        </w:rPr>
        <w:t>3</w:t>
      </w:r>
      <w:r>
        <w:rPr>
          <w:rFonts w:hint="eastAsia" w:ascii="仿宋" w:hAnsi="仿宋" w:eastAsia="仿宋"/>
          <w:color w:val="000000"/>
          <w:sz w:val="32"/>
          <w:szCs w:val="32"/>
          <w:u w:val="single"/>
        </w:rPr>
        <w:t xml:space="preserve">0  </w:t>
      </w:r>
      <w:r>
        <w:rPr>
          <w:rFonts w:hint="eastAsia" w:ascii="仿宋" w:hAnsi="仿宋" w:eastAsia="仿宋"/>
          <w:color w:val="000000"/>
          <w:sz w:val="32"/>
          <w:szCs w:val="32"/>
        </w:rPr>
        <w:t>万元，其中：政府采购货物预算</w:t>
      </w:r>
      <w:r>
        <w:rPr>
          <w:rFonts w:hint="eastAsia" w:ascii="仿宋" w:hAnsi="仿宋" w:eastAsia="仿宋"/>
          <w:color w:val="000000"/>
          <w:sz w:val="32"/>
          <w:szCs w:val="32"/>
          <w:u w:val="single"/>
        </w:rPr>
        <w:t xml:space="preserve">  </w:t>
      </w:r>
      <w:r>
        <w:rPr>
          <w:rFonts w:hint="eastAsia" w:ascii="仿宋" w:hAnsi="仿宋" w:eastAsia="仿宋"/>
          <w:color w:val="000000"/>
          <w:sz w:val="32"/>
          <w:szCs w:val="32"/>
          <w:u w:val="single"/>
          <w:lang w:val="en-US" w:eastAsia="zh-CN"/>
        </w:rPr>
        <w:t>3</w:t>
      </w:r>
      <w:r>
        <w:rPr>
          <w:rFonts w:hint="eastAsia" w:ascii="仿宋" w:hAnsi="仿宋" w:eastAsia="仿宋"/>
          <w:color w:val="000000"/>
          <w:sz w:val="32"/>
          <w:szCs w:val="32"/>
          <w:u w:val="single"/>
        </w:rPr>
        <w:t xml:space="preserve">0   </w:t>
      </w:r>
      <w:r>
        <w:rPr>
          <w:rFonts w:hint="eastAsia" w:ascii="仿宋" w:hAnsi="仿宋" w:eastAsia="仿宋"/>
          <w:color w:val="000000"/>
          <w:sz w:val="32"/>
          <w:szCs w:val="32"/>
        </w:rPr>
        <w:t>万元、政府采购工程预算</w:t>
      </w:r>
      <w:r>
        <w:rPr>
          <w:rFonts w:hint="eastAsia" w:ascii="仿宋" w:hAnsi="仿宋" w:eastAsia="仿宋"/>
          <w:color w:val="000000"/>
          <w:sz w:val="32"/>
          <w:szCs w:val="32"/>
          <w:u w:val="single"/>
        </w:rPr>
        <w:t xml:space="preserve"> 0 </w:t>
      </w:r>
      <w:r>
        <w:rPr>
          <w:rFonts w:hint="eastAsia" w:ascii="仿宋" w:hAnsi="仿宋" w:eastAsia="仿宋"/>
          <w:color w:val="000000"/>
          <w:sz w:val="32"/>
          <w:szCs w:val="32"/>
        </w:rPr>
        <w:t>万元、政府采购服务预算</w:t>
      </w:r>
      <w:r>
        <w:rPr>
          <w:rFonts w:hint="eastAsia" w:ascii="仿宋" w:hAnsi="仿宋" w:eastAsia="仿宋"/>
          <w:color w:val="000000"/>
          <w:sz w:val="32"/>
          <w:szCs w:val="32"/>
          <w:u w:val="single"/>
        </w:rPr>
        <w:t xml:space="preserve">  0  </w:t>
      </w:r>
      <w:r>
        <w:rPr>
          <w:rFonts w:hint="eastAsia" w:ascii="仿宋" w:hAnsi="仿宋" w:eastAsia="仿宋"/>
          <w:color w:val="000000"/>
          <w:sz w:val="32"/>
          <w:szCs w:val="32"/>
        </w:rPr>
        <w:t>万元。</w:t>
      </w:r>
    </w:p>
    <w:p>
      <w:pPr>
        <w:widowControl/>
        <w:spacing w:line="600" w:lineRule="exact"/>
        <w:ind w:firstLine="630" w:firstLineChars="196"/>
        <w:jc w:val="left"/>
        <w:rPr>
          <w:rFonts w:ascii="仿宋" w:hAnsi="仿宋" w:eastAsia="仿宋"/>
          <w:b/>
          <w:color w:val="000000"/>
          <w:sz w:val="32"/>
          <w:szCs w:val="32"/>
        </w:rPr>
      </w:pPr>
      <w:r>
        <w:rPr>
          <w:rFonts w:hint="eastAsia" w:ascii="仿宋" w:hAnsi="仿宋" w:eastAsia="仿宋"/>
          <w:b/>
          <w:color w:val="000000"/>
          <w:sz w:val="32"/>
          <w:szCs w:val="32"/>
        </w:rPr>
        <w:t>（八）国有资产占有使用情况</w:t>
      </w:r>
    </w:p>
    <w:p>
      <w:pPr>
        <w:widowControl/>
        <w:spacing w:line="600" w:lineRule="exact"/>
        <w:ind w:firstLine="800" w:firstLineChars="250"/>
        <w:jc w:val="left"/>
        <w:rPr>
          <w:rFonts w:ascii="仿宋" w:hAnsi="仿宋" w:eastAsia="仿宋"/>
          <w:color w:val="000000"/>
          <w:sz w:val="32"/>
          <w:szCs w:val="32"/>
        </w:rPr>
      </w:pPr>
      <w:r>
        <w:rPr>
          <w:rFonts w:hint="eastAsia" w:ascii="仿宋" w:hAnsi="仿宋" w:eastAsia="仿宋"/>
          <w:color w:val="000000"/>
          <w:sz w:val="32"/>
          <w:szCs w:val="32"/>
        </w:rPr>
        <w:t>截至2021年12月31日，</w:t>
      </w:r>
      <w:r>
        <w:rPr>
          <w:rFonts w:hint="eastAsia" w:ascii="仿宋" w:hAnsi="仿宋" w:eastAsia="仿宋"/>
          <w:color w:val="000000"/>
          <w:sz w:val="32"/>
          <w:szCs w:val="32"/>
          <w:lang w:val="en-US" w:eastAsia="zh-CN"/>
        </w:rPr>
        <w:t>部门</w:t>
      </w:r>
      <w:r>
        <w:rPr>
          <w:rFonts w:hint="eastAsia" w:ascii="仿宋" w:hAnsi="仿宋" w:eastAsia="仿宋"/>
          <w:color w:val="000000"/>
          <w:sz w:val="32"/>
          <w:szCs w:val="32"/>
        </w:rPr>
        <w:t>共有车辆</w:t>
      </w:r>
      <w:r>
        <w:rPr>
          <w:rFonts w:hint="eastAsia" w:ascii="仿宋" w:hAnsi="仿宋" w:eastAsia="仿宋"/>
          <w:color w:val="000000"/>
          <w:sz w:val="32"/>
          <w:szCs w:val="32"/>
          <w:u w:val="single"/>
        </w:rPr>
        <w:t xml:space="preserve">  </w:t>
      </w:r>
      <w:r>
        <w:rPr>
          <w:rFonts w:hint="eastAsia" w:ascii="仿宋" w:hAnsi="仿宋" w:eastAsia="仿宋"/>
          <w:color w:val="000000"/>
          <w:sz w:val="32"/>
          <w:szCs w:val="32"/>
          <w:u w:val="single"/>
          <w:lang w:val="en-US" w:eastAsia="zh-CN"/>
        </w:rPr>
        <w:t>0</w:t>
      </w:r>
      <w:r>
        <w:rPr>
          <w:rFonts w:hint="eastAsia" w:ascii="仿宋" w:hAnsi="仿宋" w:eastAsia="仿宋"/>
          <w:color w:val="000000"/>
          <w:sz w:val="32"/>
          <w:szCs w:val="32"/>
          <w:u w:val="single"/>
        </w:rPr>
        <w:t xml:space="preserve"> </w:t>
      </w:r>
      <w:r>
        <w:rPr>
          <w:rFonts w:hint="eastAsia" w:ascii="仿宋" w:hAnsi="仿宋" w:eastAsia="仿宋"/>
          <w:color w:val="000000"/>
          <w:sz w:val="32"/>
          <w:szCs w:val="32"/>
        </w:rPr>
        <w:t>辆，其中，一般公务用车</w:t>
      </w:r>
      <w:r>
        <w:rPr>
          <w:rFonts w:hint="eastAsia" w:ascii="仿宋" w:hAnsi="仿宋" w:eastAsia="仿宋"/>
          <w:color w:val="000000"/>
          <w:sz w:val="32"/>
          <w:szCs w:val="32"/>
          <w:u w:val="single"/>
        </w:rPr>
        <w:t xml:space="preserve">  0 </w:t>
      </w:r>
      <w:r>
        <w:rPr>
          <w:rFonts w:hint="eastAsia" w:ascii="仿宋" w:hAnsi="仿宋" w:eastAsia="仿宋"/>
          <w:color w:val="000000"/>
          <w:sz w:val="32"/>
          <w:szCs w:val="32"/>
        </w:rPr>
        <w:t>辆，执法执勤用车</w:t>
      </w:r>
      <w:r>
        <w:rPr>
          <w:rFonts w:hint="eastAsia" w:ascii="仿宋" w:hAnsi="仿宋" w:eastAsia="仿宋"/>
          <w:color w:val="000000"/>
          <w:sz w:val="32"/>
          <w:szCs w:val="32"/>
          <w:u w:val="single"/>
        </w:rPr>
        <w:t xml:space="preserve">  </w:t>
      </w:r>
      <w:r>
        <w:rPr>
          <w:rFonts w:hint="eastAsia" w:ascii="仿宋" w:hAnsi="仿宋" w:eastAsia="仿宋"/>
          <w:color w:val="000000"/>
          <w:sz w:val="32"/>
          <w:szCs w:val="32"/>
          <w:u w:val="single"/>
          <w:lang w:val="en-US" w:eastAsia="zh-CN"/>
        </w:rPr>
        <w:t>0</w:t>
      </w:r>
      <w:r>
        <w:rPr>
          <w:rFonts w:hint="eastAsia" w:ascii="仿宋" w:hAnsi="仿宋" w:eastAsia="仿宋"/>
          <w:color w:val="000000"/>
          <w:sz w:val="32"/>
          <w:szCs w:val="32"/>
          <w:u w:val="single"/>
        </w:rPr>
        <w:t xml:space="preserve"> </w:t>
      </w:r>
      <w:r>
        <w:rPr>
          <w:rFonts w:hint="eastAsia" w:ascii="仿宋" w:hAnsi="仿宋" w:eastAsia="仿宋"/>
          <w:color w:val="000000"/>
          <w:sz w:val="32"/>
          <w:szCs w:val="32"/>
        </w:rPr>
        <w:t>辆。</w:t>
      </w:r>
    </w:p>
    <w:p>
      <w:pPr>
        <w:widowControl/>
        <w:spacing w:line="360" w:lineRule="auto"/>
        <w:ind w:firstLine="800" w:firstLineChars="250"/>
        <w:jc w:val="left"/>
        <w:rPr>
          <w:rFonts w:ascii="仿宋" w:hAnsi="仿宋" w:eastAsia="仿宋"/>
          <w:color w:val="000000"/>
          <w:sz w:val="32"/>
          <w:szCs w:val="30"/>
        </w:rPr>
      </w:pPr>
      <w:r>
        <w:rPr>
          <w:rFonts w:hint="eastAsia" w:ascii="仿宋" w:hAnsi="仿宋" w:eastAsia="仿宋"/>
          <w:color w:val="000000"/>
          <w:sz w:val="32"/>
          <w:szCs w:val="30"/>
        </w:rPr>
        <w:t>2022年</w:t>
      </w:r>
      <w:r>
        <w:rPr>
          <w:rFonts w:hint="eastAsia" w:ascii="仿宋" w:hAnsi="仿宋" w:eastAsia="仿宋"/>
          <w:color w:val="000000"/>
          <w:sz w:val="32"/>
          <w:szCs w:val="30"/>
          <w:lang w:eastAsia="zh-CN"/>
        </w:rPr>
        <w:t>部门</w:t>
      </w:r>
      <w:r>
        <w:rPr>
          <w:rFonts w:hint="eastAsia" w:ascii="仿宋" w:hAnsi="仿宋" w:eastAsia="仿宋"/>
          <w:color w:val="000000"/>
          <w:sz w:val="32"/>
          <w:szCs w:val="30"/>
        </w:rPr>
        <w:t>预算安排购置车辆</w:t>
      </w:r>
      <w:r>
        <w:rPr>
          <w:rFonts w:hint="eastAsia" w:ascii="仿宋" w:hAnsi="仿宋" w:eastAsia="仿宋"/>
          <w:color w:val="000000"/>
          <w:sz w:val="32"/>
          <w:szCs w:val="30"/>
          <w:u w:val="single"/>
        </w:rPr>
        <w:t xml:space="preserve">   0  </w:t>
      </w:r>
      <w:r>
        <w:rPr>
          <w:rFonts w:hint="eastAsia" w:ascii="仿宋" w:hAnsi="仿宋" w:eastAsia="仿宋"/>
          <w:color w:val="000000"/>
          <w:sz w:val="32"/>
          <w:szCs w:val="30"/>
        </w:rPr>
        <w:t>辆，安排购置单位价值200万元以上大型设备具体为：</w:t>
      </w:r>
      <w:r>
        <w:rPr>
          <w:rFonts w:hint="eastAsia" w:ascii="仿宋" w:hAnsi="仿宋" w:eastAsia="仿宋"/>
          <w:color w:val="000000"/>
          <w:sz w:val="32"/>
          <w:szCs w:val="30"/>
          <w:u w:val="single"/>
        </w:rPr>
        <w:t xml:space="preserve">   无          </w:t>
      </w:r>
      <w:r>
        <w:rPr>
          <w:rFonts w:hint="eastAsia" w:ascii="仿宋" w:hAnsi="仿宋" w:eastAsia="仿宋"/>
          <w:color w:val="000000"/>
          <w:sz w:val="32"/>
          <w:szCs w:val="30"/>
        </w:rPr>
        <w:t>。</w:t>
      </w:r>
    </w:p>
    <w:p>
      <w:pPr>
        <w:widowControl/>
        <w:spacing w:line="600" w:lineRule="exact"/>
        <w:ind w:firstLine="640"/>
        <w:jc w:val="left"/>
        <w:rPr>
          <w:rFonts w:ascii="仿宋" w:hAnsi="仿宋" w:eastAsia="仿宋"/>
          <w:b/>
          <w:sz w:val="32"/>
          <w:szCs w:val="32"/>
        </w:rPr>
      </w:pPr>
      <w:r>
        <w:rPr>
          <w:rFonts w:hint="eastAsia" w:ascii="仿宋" w:hAnsi="仿宋" w:eastAsia="仿宋"/>
          <w:b/>
          <w:sz w:val="32"/>
          <w:szCs w:val="32"/>
        </w:rPr>
        <w:t>（九）</w:t>
      </w:r>
      <w:r>
        <w:rPr>
          <w:rFonts w:hint="eastAsia" w:ascii="仿宋" w:hAnsi="仿宋" w:eastAsia="仿宋"/>
          <w:b/>
          <w:sz w:val="32"/>
          <w:szCs w:val="32"/>
          <w:lang w:val="en-US" w:eastAsia="zh-CN"/>
        </w:rPr>
        <w:t>安义县发展和改革委员会</w:t>
      </w:r>
      <w:r>
        <w:rPr>
          <w:rFonts w:hint="eastAsia" w:ascii="仿宋" w:hAnsi="仿宋" w:eastAsia="仿宋"/>
          <w:b/>
          <w:sz w:val="32"/>
          <w:szCs w:val="32"/>
        </w:rPr>
        <w:t>项目情况说明</w:t>
      </w:r>
    </w:p>
    <w:p>
      <w:pPr>
        <w:widowControl/>
        <w:spacing w:line="600" w:lineRule="exact"/>
        <w:ind w:left="0" w:leftChars="0" w:firstLine="640" w:firstLineChars="200"/>
        <w:jc w:val="left"/>
        <w:rPr>
          <w:rFonts w:ascii="仿宋" w:hAnsi="仿宋" w:eastAsia="仿宋"/>
          <w:color w:val="000000"/>
          <w:sz w:val="32"/>
          <w:szCs w:val="32"/>
        </w:rPr>
      </w:pPr>
      <w:r>
        <w:rPr>
          <w:rFonts w:hint="eastAsia" w:ascii="仿宋" w:hAnsi="仿宋" w:eastAsia="仿宋"/>
          <w:color w:val="000000"/>
          <w:sz w:val="32"/>
          <w:szCs w:val="32"/>
        </w:rPr>
        <w:t>1.发展规划与实施项目</w:t>
      </w:r>
    </w:p>
    <w:p>
      <w:pPr>
        <w:widowControl/>
        <w:spacing w:line="600" w:lineRule="exact"/>
        <w:ind w:left="0" w:leftChars="0" w:firstLine="640" w:firstLineChars="200"/>
        <w:jc w:val="left"/>
        <w:rPr>
          <w:rFonts w:ascii="仿宋" w:hAnsi="仿宋" w:eastAsia="仿宋"/>
          <w:color w:val="000000"/>
          <w:sz w:val="32"/>
          <w:szCs w:val="32"/>
        </w:rPr>
      </w:pPr>
      <w:r>
        <w:rPr>
          <w:rFonts w:hint="eastAsia" w:ascii="仿宋" w:hAnsi="仿宋" w:eastAsia="仿宋"/>
          <w:color w:val="000000"/>
          <w:sz w:val="32"/>
          <w:szCs w:val="32"/>
        </w:rPr>
        <w:t>1）项目概述</w:t>
      </w:r>
    </w:p>
    <w:p>
      <w:pPr>
        <w:spacing w:line="560" w:lineRule="exact"/>
        <w:ind w:left="0" w:leftChars="0" w:firstLine="640" w:firstLineChars="200"/>
        <w:rPr>
          <w:rFonts w:ascii="仿宋" w:hAnsi="仿宋" w:eastAsia="仿宋"/>
          <w:color w:val="000000"/>
          <w:sz w:val="32"/>
          <w:szCs w:val="32"/>
        </w:rPr>
      </w:pPr>
      <w:r>
        <w:rPr>
          <w:rFonts w:hint="eastAsia" w:ascii="仿宋" w:hAnsi="仿宋" w:eastAsia="仿宋"/>
          <w:color w:val="000000"/>
          <w:sz w:val="32"/>
          <w:szCs w:val="32"/>
        </w:rPr>
        <w:t>发展规划与实施项目</w:t>
      </w:r>
      <w:r>
        <w:rPr>
          <w:rFonts w:hint="eastAsia" w:ascii="仿宋" w:hAnsi="仿宋" w:eastAsia="仿宋" w:cs="仿宋_GB2312"/>
          <w:sz w:val="32"/>
          <w:szCs w:val="32"/>
        </w:rPr>
        <w:t>，来自于</w:t>
      </w:r>
      <w:r>
        <w:rPr>
          <w:rFonts w:hint="eastAsia" w:ascii="仿宋" w:hAnsi="仿宋" w:eastAsia="仿宋" w:cs="仿宋_GB2312"/>
          <w:sz w:val="32"/>
          <w:szCs w:val="32"/>
          <w:lang w:val="en-US" w:eastAsia="zh-CN"/>
        </w:rPr>
        <w:t>本级财政</w:t>
      </w:r>
      <w:r>
        <w:rPr>
          <w:rFonts w:hint="eastAsia" w:ascii="仿宋" w:hAnsi="仿宋" w:eastAsia="仿宋" w:cs="仿宋_GB2312"/>
          <w:sz w:val="32"/>
          <w:szCs w:val="32"/>
        </w:rPr>
        <w:t>补助收入，年度预算安排总共</w:t>
      </w:r>
      <w:r>
        <w:rPr>
          <w:rFonts w:hint="eastAsia" w:ascii="仿宋" w:hAnsi="仿宋" w:eastAsia="仿宋" w:cs="仿宋_GB2312"/>
          <w:sz w:val="32"/>
          <w:szCs w:val="32"/>
          <w:lang w:val="en-US" w:eastAsia="zh-CN"/>
        </w:rPr>
        <w:t>35</w:t>
      </w:r>
      <w:r>
        <w:rPr>
          <w:rFonts w:hint="eastAsia" w:ascii="仿宋" w:hAnsi="仿宋" w:eastAsia="仿宋" w:cs="仿宋_GB2312"/>
          <w:sz w:val="32"/>
          <w:szCs w:val="32"/>
        </w:rPr>
        <w:t>万元。主要用于</w:t>
      </w:r>
      <w:r>
        <w:rPr>
          <w:rFonts w:hint="eastAsia" w:ascii="仿宋" w:hAnsi="仿宋" w:eastAsia="仿宋"/>
          <w:sz w:val="32"/>
          <w:szCs w:val="32"/>
          <w:lang w:val="en-US" w:eastAsia="zh-CN"/>
        </w:rPr>
        <w:t>制定安义县年度社会</w:t>
      </w:r>
      <w:r>
        <w:rPr>
          <w:rFonts w:hint="eastAsia" w:ascii="仿宋" w:hAnsi="仿宋" w:eastAsia="仿宋"/>
          <w:color w:val="000000"/>
          <w:sz w:val="32"/>
          <w:szCs w:val="32"/>
        </w:rPr>
        <w:t>发展规划</w:t>
      </w:r>
      <w:r>
        <w:rPr>
          <w:rFonts w:hint="eastAsia" w:ascii="仿宋" w:hAnsi="仿宋" w:eastAsia="仿宋"/>
          <w:color w:val="000000"/>
          <w:sz w:val="32"/>
          <w:szCs w:val="32"/>
          <w:lang w:val="en-US" w:eastAsia="zh-CN"/>
        </w:rPr>
        <w:t>和国民经济发展计划，并加以落实</w:t>
      </w:r>
      <w:r>
        <w:rPr>
          <w:rFonts w:hint="eastAsia" w:ascii="仿宋" w:hAnsi="仿宋" w:eastAsia="仿宋"/>
          <w:color w:val="000000"/>
          <w:sz w:val="32"/>
          <w:szCs w:val="32"/>
        </w:rPr>
        <w:t>项目实施</w:t>
      </w:r>
      <w:r>
        <w:rPr>
          <w:rFonts w:hint="eastAsia" w:ascii="仿宋" w:hAnsi="仿宋" w:eastAsia="仿宋"/>
          <w:sz w:val="32"/>
          <w:szCs w:val="32"/>
        </w:rPr>
        <w:t>。</w:t>
      </w:r>
    </w:p>
    <w:p>
      <w:pPr>
        <w:widowControl/>
        <w:spacing w:line="600" w:lineRule="exact"/>
        <w:ind w:left="0" w:leftChars="0" w:firstLine="640" w:firstLineChars="200"/>
        <w:jc w:val="left"/>
        <w:rPr>
          <w:rFonts w:ascii="仿宋" w:hAnsi="仿宋" w:eastAsia="仿宋"/>
          <w:color w:val="000000"/>
          <w:sz w:val="32"/>
          <w:szCs w:val="32"/>
        </w:rPr>
      </w:pPr>
      <w:r>
        <w:rPr>
          <w:rFonts w:hint="eastAsia" w:ascii="仿宋" w:hAnsi="仿宋" w:eastAsia="仿宋"/>
          <w:color w:val="000000"/>
          <w:sz w:val="32"/>
          <w:szCs w:val="32"/>
        </w:rPr>
        <w:t>2）立项依据</w:t>
      </w:r>
    </w:p>
    <w:p>
      <w:pPr>
        <w:widowControl/>
        <w:spacing w:line="600" w:lineRule="exact"/>
        <w:ind w:left="0" w:leftChars="0" w:firstLine="640" w:firstLineChars="200"/>
        <w:jc w:val="left"/>
        <w:rPr>
          <w:rFonts w:hint="default" w:ascii="仿宋" w:hAnsi="仿宋" w:eastAsia="仿宋"/>
          <w:color w:val="000000"/>
          <w:sz w:val="32"/>
          <w:szCs w:val="32"/>
          <w:lang w:val="en-US" w:eastAsia="zh-CN"/>
        </w:rPr>
      </w:pPr>
      <w:r>
        <w:rPr>
          <w:rFonts w:hint="eastAsia" w:ascii="仿宋" w:hAnsi="仿宋" w:eastAsia="仿宋"/>
          <w:color w:val="000000"/>
          <w:sz w:val="32"/>
          <w:szCs w:val="32"/>
          <w:lang w:val="en-US" w:eastAsia="zh-CN"/>
        </w:rPr>
        <w:t>安义县发展和改革委员会2022年部门预算</w:t>
      </w:r>
    </w:p>
    <w:p>
      <w:pPr>
        <w:widowControl/>
        <w:spacing w:line="600" w:lineRule="exact"/>
        <w:ind w:left="0" w:leftChars="0" w:firstLine="640" w:firstLineChars="200"/>
        <w:jc w:val="left"/>
        <w:rPr>
          <w:rFonts w:ascii="仿宋" w:hAnsi="仿宋" w:eastAsia="仿宋"/>
          <w:color w:val="000000"/>
          <w:sz w:val="32"/>
          <w:szCs w:val="32"/>
        </w:rPr>
      </w:pPr>
      <w:r>
        <w:rPr>
          <w:rFonts w:hint="eastAsia" w:ascii="仿宋" w:hAnsi="仿宋" w:eastAsia="仿宋"/>
          <w:color w:val="000000"/>
          <w:sz w:val="32"/>
          <w:szCs w:val="32"/>
        </w:rPr>
        <w:t>3）实施主体</w:t>
      </w:r>
    </w:p>
    <w:p>
      <w:pPr>
        <w:widowControl/>
        <w:spacing w:line="600" w:lineRule="exact"/>
        <w:ind w:left="0" w:leftChars="0" w:firstLine="640" w:firstLineChars="200"/>
        <w:jc w:val="left"/>
        <w:rPr>
          <w:rFonts w:hint="eastAsia" w:ascii="仿宋" w:hAnsi="仿宋" w:eastAsia="仿宋"/>
          <w:color w:val="000000"/>
          <w:sz w:val="32"/>
          <w:szCs w:val="32"/>
        </w:rPr>
      </w:pPr>
      <w:r>
        <w:rPr>
          <w:rFonts w:hint="eastAsia" w:ascii="仿宋" w:hAnsi="仿宋" w:eastAsia="仿宋"/>
          <w:color w:val="000000"/>
          <w:sz w:val="32"/>
          <w:szCs w:val="32"/>
        </w:rPr>
        <w:t>安义县</w:t>
      </w:r>
      <w:r>
        <w:rPr>
          <w:rFonts w:hint="eastAsia" w:ascii="仿宋" w:hAnsi="仿宋" w:eastAsia="仿宋"/>
          <w:color w:val="000000"/>
          <w:sz w:val="32"/>
          <w:szCs w:val="32"/>
          <w:lang w:val="en-US" w:eastAsia="zh-CN"/>
        </w:rPr>
        <w:t>发展和改革委员会</w:t>
      </w:r>
    </w:p>
    <w:p>
      <w:pPr>
        <w:widowControl/>
        <w:spacing w:line="600" w:lineRule="exact"/>
        <w:ind w:left="0" w:leftChars="0" w:firstLine="640" w:firstLineChars="200"/>
        <w:jc w:val="left"/>
        <w:rPr>
          <w:rFonts w:ascii="仿宋" w:hAnsi="仿宋" w:eastAsia="仿宋"/>
          <w:color w:val="000000"/>
          <w:sz w:val="32"/>
          <w:szCs w:val="32"/>
        </w:rPr>
      </w:pPr>
      <w:r>
        <w:rPr>
          <w:rFonts w:hint="eastAsia" w:ascii="仿宋" w:hAnsi="仿宋" w:eastAsia="仿宋"/>
          <w:color w:val="000000"/>
          <w:sz w:val="32"/>
          <w:szCs w:val="32"/>
        </w:rPr>
        <w:t>4）实施方案</w:t>
      </w:r>
    </w:p>
    <w:p>
      <w:pPr>
        <w:widowControl/>
        <w:spacing w:line="600" w:lineRule="exact"/>
        <w:ind w:left="0" w:leftChars="0" w:firstLine="640" w:firstLineChars="200"/>
        <w:jc w:val="left"/>
        <w:rPr>
          <w:rFonts w:hint="eastAsia" w:ascii="仿宋" w:hAnsi="仿宋" w:eastAsia="仿宋"/>
          <w:sz w:val="32"/>
          <w:szCs w:val="32"/>
        </w:rPr>
      </w:pPr>
      <w:r>
        <w:rPr>
          <w:rFonts w:hint="eastAsia" w:ascii="仿宋" w:hAnsi="仿宋" w:eastAsia="仿宋"/>
          <w:sz w:val="32"/>
          <w:szCs w:val="32"/>
          <w:lang w:val="en-US" w:eastAsia="zh-CN"/>
        </w:rPr>
        <w:t>制定安义县年度社会</w:t>
      </w:r>
      <w:r>
        <w:rPr>
          <w:rFonts w:hint="eastAsia" w:ascii="仿宋" w:hAnsi="仿宋" w:eastAsia="仿宋"/>
          <w:color w:val="000000"/>
          <w:sz w:val="32"/>
          <w:szCs w:val="32"/>
        </w:rPr>
        <w:t>发展规划</w:t>
      </w:r>
      <w:r>
        <w:rPr>
          <w:rFonts w:hint="eastAsia" w:ascii="仿宋" w:hAnsi="仿宋" w:eastAsia="仿宋"/>
          <w:color w:val="000000"/>
          <w:sz w:val="32"/>
          <w:szCs w:val="32"/>
          <w:lang w:val="en-US" w:eastAsia="zh-CN"/>
        </w:rPr>
        <w:t>和国民经济发展计划，并加以落实</w:t>
      </w:r>
      <w:r>
        <w:rPr>
          <w:rFonts w:hint="eastAsia" w:ascii="仿宋" w:hAnsi="仿宋" w:eastAsia="仿宋"/>
          <w:color w:val="000000"/>
          <w:sz w:val="32"/>
          <w:szCs w:val="32"/>
        </w:rPr>
        <w:t>项目实施</w:t>
      </w:r>
      <w:r>
        <w:rPr>
          <w:rFonts w:hint="eastAsia" w:ascii="仿宋" w:hAnsi="仿宋" w:eastAsia="仿宋"/>
          <w:sz w:val="32"/>
          <w:szCs w:val="32"/>
        </w:rPr>
        <w:t>。</w:t>
      </w:r>
    </w:p>
    <w:p>
      <w:pPr>
        <w:widowControl/>
        <w:spacing w:line="600" w:lineRule="exact"/>
        <w:ind w:left="0" w:leftChars="0" w:firstLine="640" w:firstLineChars="200"/>
        <w:jc w:val="left"/>
        <w:rPr>
          <w:rFonts w:ascii="仿宋" w:hAnsi="仿宋" w:eastAsia="仿宋"/>
          <w:color w:val="000000"/>
          <w:sz w:val="32"/>
          <w:szCs w:val="32"/>
        </w:rPr>
      </w:pPr>
      <w:r>
        <w:rPr>
          <w:rFonts w:hint="eastAsia" w:ascii="仿宋" w:hAnsi="仿宋" w:eastAsia="仿宋"/>
          <w:color w:val="000000"/>
          <w:sz w:val="32"/>
          <w:szCs w:val="32"/>
        </w:rPr>
        <w:t>5）实施周期</w:t>
      </w:r>
    </w:p>
    <w:p>
      <w:pPr>
        <w:widowControl/>
        <w:spacing w:line="600" w:lineRule="exact"/>
        <w:ind w:left="0" w:leftChars="0" w:firstLine="640" w:firstLineChars="200"/>
        <w:jc w:val="left"/>
        <w:rPr>
          <w:rFonts w:ascii="仿宋" w:hAnsi="仿宋" w:eastAsia="仿宋"/>
          <w:color w:val="000000"/>
          <w:sz w:val="32"/>
          <w:szCs w:val="32"/>
        </w:rPr>
      </w:pPr>
      <w:r>
        <w:rPr>
          <w:rFonts w:hint="eastAsia" w:ascii="仿宋" w:hAnsi="仿宋" w:eastAsia="仿宋"/>
          <w:color w:val="000000"/>
          <w:sz w:val="32"/>
          <w:szCs w:val="32"/>
          <w:lang w:val="en-US" w:eastAsia="zh-CN"/>
        </w:rPr>
        <w:t>1</w:t>
      </w:r>
      <w:r>
        <w:rPr>
          <w:rFonts w:hint="eastAsia" w:ascii="仿宋" w:hAnsi="仿宋" w:eastAsia="仿宋"/>
          <w:color w:val="000000"/>
          <w:sz w:val="32"/>
          <w:szCs w:val="32"/>
        </w:rPr>
        <w:t>年</w:t>
      </w:r>
    </w:p>
    <w:p>
      <w:pPr>
        <w:widowControl/>
        <w:spacing w:line="600" w:lineRule="exact"/>
        <w:ind w:left="0" w:leftChars="0" w:firstLine="640" w:firstLineChars="200"/>
        <w:jc w:val="left"/>
        <w:rPr>
          <w:rFonts w:ascii="仿宋" w:hAnsi="仿宋" w:eastAsia="仿宋"/>
          <w:color w:val="000000"/>
          <w:sz w:val="32"/>
          <w:szCs w:val="32"/>
        </w:rPr>
      </w:pPr>
      <w:r>
        <w:rPr>
          <w:rFonts w:ascii="仿宋" w:hAnsi="仿宋" w:eastAsia="仿宋"/>
          <w:color w:val="000000"/>
          <w:sz w:val="32"/>
          <w:szCs w:val="32"/>
        </w:rPr>
        <w:t>6</w:t>
      </w:r>
      <w:r>
        <w:rPr>
          <w:rFonts w:hint="eastAsia" w:ascii="仿宋" w:hAnsi="仿宋" w:eastAsia="仿宋"/>
          <w:color w:val="000000"/>
          <w:sz w:val="32"/>
          <w:szCs w:val="32"/>
        </w:rPr>
        <w:t>）年度预算安排</w:t>
      </w:r>
    </w:p>
    <w:p>
      <w:pPr>
        <w:widowControl/>
        <w:spacing w:line="600" w:lineRule="exact"/>
        <w:ind w:left="0" w:leftChars="0" w:firstLine="640" w:firstLineChars="200"/>
        <w:jc w:val="left"/>
        <w:rPr>
          <w:rFonts w:ascii="仿宋" w:hAnsi="仿宋" w:eastAsia="仿宋"/>
          <w:color w:val="000000"/>
          <w:sz w:val="32"/>
          <w:szCs w:val="32"/>
        </w:rPr>
      </w:pPr>
      <w:r>
        <w:rPr>
          <w:rFonts w:hint="eastAsia" w:ascii="仿宋" w:hAnsi="仿宋" w:eastAsia="仿宋"/>
          <w:color w:val="000000"/>
          <w:sz w:val="32"/>
          <w:szCs w:val="32"/>
          <w:lang w:val="en-US" w:eastAsia="zh-CN"/>
        </w:rPr>
        <w:t>35</w:t>
      </w:r>
      <w:r>
        <w:rPr>
          <w:rFonts w:hint="eastAsia" w:ascii="仿宋" w:hAnsi="仿宋" w:eastAsia="仿宋"/>
          <w:color w:val="000000"/>
          <w:sz w:val="32"/>
          <w:szCs w:val="32"/>
        </w:rPr>
        <w:t>万元</w:t>
      </w:r>
    </w:p>
    <w:p>
      <w:pPr>
        <w:widowControl/>
        <w:spacing w:line="600" w:lineRule="exact"/>
        <w:ind w:left="0" w:leftChars="0" w:firstLine="640" w:firstLineChars="200"/>
        <w:jc w:val="left"/>
        <w:rPr>
          <w:rFonts w:ascii="仿宋" w:hAnsi="仿宋" w:eastAsia="仿宋"/>
          <w:color w:val="000000"/>
          <w:sz w:val="32"/>
          <w:szCs w:val="32"/>
        </w:rPr>
      </w:pPr>
      <w:r>
        <w:rPr>
          <w:rFonts w:hint="eastAsia" w:ascii="仿宋" w:hAnsi="仿宋" w:eastAsia="仿宋"/>
          <w:color w:val="000000"/>
          <w:sz w:val="32"/>
          <w:szCs w:val="32"/>
        </w:rPr>
        <w:t>7）绩效目标和指标</w:t>
      </w:r>
    </w:p>
    <w:tbl>
      <w:tblPr>
        <w:tblStyle w:val="4"/>
        <w:tblW w:w="6945" w:type="dxa"/>
        <w:jc w:val="center"/>
        <w:tblLayout w:type="autofit"/>
        <w:tblCellMar>
          <w:top w:w="0" w:type="dxa"/>
          <w:left w:w="108" w:type="dxa"/>
          <w:bottom w:w="0" w:type="dxa"/>
          <w:right w:w="108" w:type="dxa"/>
        </w:tblCellMar>
      </w:tblPr>
      <w:tblGrid>
        <w:gridCol w:w="1096"/>
        <w:gridCol w:w="1096"/>
        <w:gridCol w:w="2677"/>
        <w:gridCol w:w="2076"/>
      </w:tblGrid>
      <w:tr>
        <w:tblPrEx>
          <w:tblCellMar>
            <w:top w:w="0" w:type="dxa"/>
            <w:left w:w="108" w:type="dxa"/>
            <w:bottom w:w="0" w:type="dxa"/>
            <w:right w:w="108" w:type="dxa"/>
          </w:tblCellMar>
        </w:tblPrEx>
        <w:trPr>
          <w:trHeight w:val="287" w:hRule="atLeast"/>
          <w:jc w:val="center"/>
        </w:trPr>
        <w:tc>
          <w:tcPr>
            <w:tcW w:w="6945"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年度绩效目标</w:t>
            </w:r>
          </w:p>
        </w:tc>
      </w:tr>
      <w:tr>
        <w:tblPrEx>
          <w:tblCellMar>
            <w:top w:w="0" w:type="dxa"/>
            <w:left w:w="108" w:type="dxa"/>
            <w:bottom w:w="0" w:type="dxa"/>
            <w:right w:w="108" w:type="dxa"/>
          </w:tblCellMar>
        </w:tblPrEx>
        <w:trPr>
          <w:trHeight w:val="960" w:hRule="atLeast"/>
          <w:jc w:val="center"/>
        </w:trPr>
        <w:tc>
          <w:tcPr>
            <w:tcW w:w="6945" w:type="dxa"/>
            <w:gridSpan w:val="4"/>
            <w:tcBorders>
              <w:top w:val="single" w:color="auto" w:sz="4" w:space="0"/>
              <w:left w:val="single" w:color="auto" w:sz="4" w:space="0"/>
              <w:bottom w:val="nil"/>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2022年发展规划与实施</w:t>
            </w:r>
          </w:p>
        </w:tc>
      </w:tr>
      <w:tr>
        <w:tblPrEx>
          <w:tblCellMar>
            <w:top w:w="0" w:type="dxa"/>
            <w:left w:w="108" w:type="dxa"/>
            <w:bottom w:w="0" w:type="dxa"/>
            <w:right w:w="108" w:type="dxa"/>
          </w:tblCellMar>
        </w:tblPrEx>
        <w:trPr>
          <w:trHeight w:val="287" w:hRule="atLeast"/>
          <w:jc w:val="center"/>
        </w:trPr>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一级指标</w:t>
            </w:r>
          </w:p>
        </w:tc>
        <w:tc>
          <w:tcPr>
            <w:tcW w:w="109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二级指标</w:t>
            </w:r>
          </w:p>
        </w:tc>
        <w:tc>
          <w:tcPr>
            <w:tcW w:w="267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三级指标</w:t>
            </w:r>
          </w:p>
        </w:tc>
        <w:tc>
          <w:tcPr>
            <w:tcW w:w="2076"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指标值</w:t>
            </w:r>
          </w:p>
        </w:tc>
      </w:tr>
      <w:tr>
        <w:tblPrEx>
          <w:tblCellMar>
            <w:top w:w="0" w:type="dxa"/>
            <w:left w:w="108" w:type="dxa"/>
            <w:bottom w:w="0" w:type="dxa"/>
            <w:right w:w="108" w:type="dxa"/>
          </w:tblCellMar>
        </w:tblPrEx>
        <w:trPr>
          <w:trHeight w:val="214" w:hRule="atLeast"/>
          <w:jc w:val="center"/>
        </w:trPr>
        <w:tc>
          <w:tcPr>
            <w:tcW w:w="1096"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产出指标</w:t>
            </w:r>
          </w:p>
        </w:tc>
        <w:tc>
          <w:tcPr>
            <w:tcW w:w="1096"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数量</w:t>
            </w:r>
          </w:p>
        </w:tc>
        <w:tc>
          <w:tcPr>
            <w:tcW w:w="2677"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1.国民经济计划</w:t>
            </w:r>
          </w:p>
        </w:tc>
        <w:tc>
          <w:tcPr>
            <w:tcW w:w="2076"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10</w:t>
            </w:r>
          </w:p>
        </w:tc>
      </w:tr>
      <w:tr>
        <w:tblPrEx>
          <w:tblCellMar>
            <w:top w:w="0" w:type="dxa"/>
            <w:left w:w="108" w:type="dxa"/>
            <w:bottom w:w="0" w:type="dxa"/>
            <w:right w:w="108" w:type="dxa"/>
          </w:tblCellMar>
        </w:tblPrEx>
        <w:trPr>
          <w:trHeight w:val="214" w:hRule="atLeast"/>
          <w:jc w:val="center"/>
        </w:trPr>
        <w:tc>
          <w:tcPr>
            <w:tcW w:w="1096"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Arial"/>
                <w:color w:val="000000"/>
                <w:kern w:val="0"/>
                <w:sz w:val="32"/>
                <w:szCs w:val="32"/>
              </w:rPr>
            </w:pPr>
          </w:p>
        </w:tc>
        <w:tc>
          <w:tcPr>
            <w:tcW w:w="1096" w:type="dxa"/>
            <w:vMerge w:val="continue"/>
            <w:tcBorders>
              <w:top w:val="nil"/>
              <w:left w:val="single" w:color="auto" w:sz="4" w:space="0"/>
              <w:bottom w:val="single" w:color="auto" w:sz="4" w:space="0"/>
              <w:right w:val="single" w:color="auto" w:sz="4" w:space="0"/>
            </w:tcBorders>
            <w:vAlign w:val="center"/>
          </w:tcPr>
          <w:p>
            <w:pPr>
              <w:jc w:val="center"/>
              <w:rPr>
                <w:rFonts w:ascii="仿宋" w:hAnsi="仿宋" w:eastAsia="仿宋" w:cs="Arial"/>
                <w:kern w:val="0"/>
                <w:sz w:val="32"/>
                <w:szCs w:val="32"/>
              </w:rPr>
            </w:pPr>
          </w:p>
        </w:tc>
        <w:tc>
          <w:tcPr>
            <w:tcW w:w="2677"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2.规划评估</w:t>
            </w:r>
          </w:p>
        </w:tc>
        <w:tc>
          <w:tcPr>
            <w:tcW w:w="2076"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10</w:t>
            </w:r>
          </w:p>
        </w:tc>
      </w:tr>
      <w:tr>
        <w:tblPrEx>
          <w:tblCellMar>
            <w:top w:w="0" w:type="dxa"/>
            <w:left w:w="108" w:type="dxa"/>
            <w:bottom w:w="0" w:type="dxa"/>
            <w:right w:w="108" w:type="dxa"/>
          </w:tblCellMar>
        </w:tblPrEx>
        <w:trPr>
          <w:trHeight w:val="214" w:hRule="atLeast"/>
          <w:jc w:val="center"/>
        </w:trPr>
        <w:tc>
          <w:tcPr>
            <w:tcW w:w="1096"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Arial"/>
                <w:color w:val="000000"/>
                <w:kern w:val="0"/>
                <w:sz w:val="32"/>
                <w:szCs w:val="32"/>
              </w:rPr>
            </w:pPr>
          </w:p>
        </w:tc>
        <w:tc>
          <w:tcPr>
            <w:tcW w:w="1096" w:type="dxa"/>
            <w:vMerge w:val="continue"/>
            <w:tcBorders>
              <w:top w:val="nil"/>
              <w:left w:val="single" w:color="auto" w:sz="4" w:space="0"/>
              <w:bottom w:val="single" w:color="auto" w:sz="4" w:space="0"/>
              <w:right w:val="single" w:color="auto" w:sz="4" w:space="0"/>
            </w:tcBorders>
            <w:vAlign w:val="center"/>
          </w:tcPr>
          <w:p>
            <w:pPr>
              <w:jc w:val="center"/>
              <w:rPr>
                <w:rFonts w:ascii="仿宋" w:hAnsi="仿宋" w:eastAsia="仿宋" w:cs="Arial"/>
                <w:kern w:val="0"/>
                <w:sz w:val="32"/>
                <w:szCs w:val="32"/>
              </w:rPr>
            </w:pPr>
          </w:p>
        </w:tc>
        <w:tc>
          <w:tcPr>
            <w:tcW w:w="2677" w:type="dxa"/>
            <w:tcBorders>
              <w:top w:val="single" w:color="auto" w:sz="4" w:space="0"/>
              <w:left w:val="nil"/>
              <w:bottom w:val="single" w:color="auto" w:sz="4" w:space="0"/>
              <w:right w:val="single" w:color="000000" w:sz="4" w:space="0"/>
            </w:tcBorders>
            <w:shd w:val="clear" w:color="auto" w:fill="auto"/>
            <w:vAlign w:val="center"/>
          </w:tcPr>
          <w:p>
            <w:pPr>
              <w:jc w:val="center"/>
              <w:rPr>
                <w:rFonts w:ascii="仿宋" w:hAnsi="仿宋" w:eastAsia="仿宋" w:cs="Arial"/>
                <w:kern w:val="0"/>
                <w:sz w:val="32"/>
                <w:szCs w:val="32"/>
              </w:rPr>
            </w:pPr>
          </w:p>
        </w:tc>
        <w:tc>
          <w:tcPr>
            <w:tcW w:w="2076" w:type="dxa"/>
            <w:tcBorders>
              <w:top w:val="single" w:color="auto" w:sz="4" w:space="0"/>
              <w:left w:val="nil"/>
              <w:bottom w:val="single" w:color="auto" w:sz="4" w:space="0"/>
              <w:right w:val="single" w:color="000000" w:sz="4" w:space="0"/>
            </w:tcBorders>
            <w:shd w:val="clear" w:color="auto" w:fill="auto"/>
            <w:vAlign w:val="center"/>
          </w:tcPr>
          <w:p>
            <w:pPr>
              <w:jc w:val="center"/>
              <w:rPr>
                <w:rFonts w:ascii="仿宋" w:hAnsi="仿宋" w:eastAsia="仿宋" w:cs="Arial"/>
                <w:color w:val="000000"/>
                <w:kern w:val="0"/>
                <w:sz w:val="32"/>
                <w:szCs w:val="32"/>
              </w:rPr>
            </w:pPr>
          </w:p>
        </w:tc>
      </w:tr>
      <w:tr>
        <w:tblPrEx>
          <w:tblCellMar>
            <w:top w:w="0" w:type="dxa"/>
            <w:left w:w="108" w:type="dxa"/>
            <w:bottom w:w="0" w:type="dxa"/>
            <w:right w:w="108" w:type="dxa"/>
          </w:tblCellMar>
        </w:tblPrEx>
        <w:trPr>
          <w:trHeight w:val="214" w:hRule="atLeast"/>
          <w:jc w:val="center"/>
        </w:trPr>
        <w:tc>
          <w:tcPr>
            <w:tcW w:w="1096"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Arial"/>
                <w:color w:val="000000"/>
                <w:kern w:val="0"/>
                <w:sz w:val="32"/>
                <w:szCs w:val="32"/>
              </w:rPr>
            </w:pPr>
          </w:p>
        </w:tc>
        <w:tc>
          <w:tcPr>
            <w:tcW w:w="1096"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质量</w:t>
            </w:r>
          </w:p>
        </w:tc>
        <w:tc>
          <w:tcPr>
            <w:tcW w:w="2677"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1.国民经济计划</w:t>
            </w:r>
          </w:p>
        </w:tc>
        <w:tc>
          <w:tcPr>
            <w:tcW w:w="2076"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10</w:t>
            </w:r>
          </w:p>
        </w:tc>
      </w:tr>
      <w:tr>
        <w:tblPrEx>
          <w:tblCellMar>
            <w:top w:w="0" w:type="dxa"/>
            <w:left w:w="108" w:type="dxa"/>
            <w:bottom w:w="0" w:type="dxa"/>
            <w:right w:w="108" w:type="dxa"/>
          </w:tblCellMar>
        </w:tblPrEx>
        <w:trPr>
          <w:trHeight w:val="214" w:hRule="atLeast"/>
          <w:jc w:val="center"/>
        </w:trPr>
        <w:tc>
          <w:tcPr>
            <w:tcW w:w="1096"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Arial"/>
                <w:color w:val="000000"/>
                <w:kern w:val="0"/>
                <w:sz w:val="32"/>
                <w:szCs w:val="32"/>
              </w:rPr>
            </w:pPr>
          </w:p>
        </w:tc>
        <w:tc>
          <w:tcPr>
            <w:tcW w:w="1096" w:type="dxa"/>
            <w:vMerge w:val="continue"/>
            <w:tcBorders>
              <w:top w:val="nil"/>
              <w:left w:val="single" w:color="auto" w:sz="4" w:space="0"/>
              <w:bottom w:val="single" w:color="auto" w:sz="4" w:space="0"/>
              <w:right w:val="single" w:color="auto" w:sz="4" w:space="0"/>
            </w:tcBorders>
            <w:vAlign w:val="center"/>
          </w:tcPr>
          <w:p>
            <w:pPr>
              <w:jc w:val="center"/>
              <w:rPr>
                <w:rFonts w:ascii="仿宋" w:hAnsi="仿宋" w:eastAsia="仿宋" w:cs="Arial"/>
                <w:kern w:val="0"/>
                <w:sz w:val="32"/>
                <w:szCs w:val="32"/>
              </w:rPr>
            </w:pPr>
          </w:p>
        </w:tc>
        <w:tc>
          <w:tcPr>
            <w:tcW w:w="2677"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2.规划评估</w:t>
            </w:r>
          </w:p>
        </w:tc>
        <w:tc>
          <w:tcPr>
            <w:tcW w:w="2076"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10</w:t>
            </w:r>
          </w:p>
        </w:tc>
      </w:tr>
      <w:tr>
        <w:tblPrEx>
          <w:tblCellMar>
            <w:top w:w="0" w:type="dxa"/>
            <w:left w:w="108" w:type="dxa"/>
            <w:bottom w:w="0" w:type="dxa"/>
            <w:right w:w="108" w:type="dxa"/>
          </w:tblCellMar>
        </w:tblPrEx>
        <w:trPr>
          <w:trHeight w:val="214" w:hRule="atLeast"/>
          <w:jc w:val="center"/>
        </w:trPr>
        <w:tc>
          <w:tcPr>
            <w:tcW w:w="1096"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Arial"/>
                <w:color w:val="000000"/>
                <w:kern w:val="0"/>
                <w:sz w:val="32"/>
                <w:szCs w:val="32"/>
              </w:rPr>
            </w:pPr>
          </w:p>
        </w:tc>
        <w:tc>
          <w:tcPr>
            <w:tcW w:w="1096" w:type="dxa"/>
            <w:vMerge w:val="continue"/>
            <w:tcBorders>
              <w:top w:val="nil"/>
              <w:left w:val="single" w:color="auto" w:sz="4" w:space="0"/>
              <w:bottom w:val="single" w:color="auto" w:sz="4" w:space="0"/>
              <w:right w:val="single" w:color="auto" w:sz="4" w:space="0"/>
            </w:tcBorders>
            <w:vAlign w:val="center"/>
          </w:tcPr>
          <w:p>
            <w:pPr>
              <w:jc w:val="center"/>
              <w:rPr>
                <w:rFonts w:ascii="仿宋" w:hAnsi="仿宋" w:eastAsia="仿宋" w:cs="Arial"/>
                <w:kern w:val="0"/>
                <w:sz w:val="32"/>
                <w:szCs w:val="32"/>
              </w:rPr>
            </w:pPr>
          </w:p>
        </w:tc>
        <w:tc>
          <w:tcPr>
            <w:tcW w:w="2677" w:type="dxa"/>
            <w:tcBorders>
              <w:top w:val="single" w:color="auto" w:sz="4" w:space="0"/>
              <w:left w:val="nil"/>
              <w:bottom w:val="single" w:color="auto" w:sz="4" w:space="0"/>
              <w:right w:val="single" w:color="000000" w:sz="4" w:space="0"/>
            </w:tcBorders>
            <w:shd w:val="clear" w:color="auto" w:fill="auto"/>
            <w:vAlign w:val="center"/>
          </w:tcPr>
          <w:p>
            <w:pPr>
              <w:jc w:val="center"/>
              <w:rPr>
                <w:rFonts w:ascii="仿宋" w:hAnsi="仿宋" w:eastAsia="仿宋" w:cs="Arial"/>
                <w:kern w:val="0"/>
                <w:sz w:val="32"/>
                <w:szCs w:val="32"/>
              </w:rPr>
            </w:pPr>
          </w:p>
        </w:tc>
        <w:tc>
          <w:tcPr>
            <w:tcW w:w="2076" w:type="dxa"/>
            <w:tcBorders>
              <w:top w:val="single" w:color="auto" w:sz="4" w:space="0"/>
              <w:left w:val="nil"/>
              <w:bottom w:val="single" w:color="auto" w:sz="4" w:space="0"/>
              <w:right w:val="single" w:color="000000" w:sz="4" w:space="0"/>
            </w:tcBorders>
            <w:shd w:val="clear" w:color="auto" w:fill="auto"/>
            <w:vAlign w:val="center"/>
          </w:tcPr>
          <w:p>
            <w:pPr>
              <w:jc w:val="center"/>
              <w:rPr>
                <w:rFonts w:ascii="仿宋" w:hAnsi="仿宋" w:eastAsia="仿宋" w:cs="Arial"/>
                <w:color w:val="000000"/>
                <w:kern w:val="0"/>
                <w:sz w:val="32"/>
                <w:szCs w:val="32"/>
              </w:rPr>
            </w:pPr>
          </w:p>
        </w:tc>
      </w:tr>
      <w:tr>
        <w:tblPrEx>
          <w:tblCellMar>
            <w:top w:w="0" w:type="dxa"/>
            <w:left w:w="108" w:type="dxa"/>
            <w:bottom w:w="0" w:type="dxa"/>
            <w:right w:w="108" w:type="dxa"/>
          </w:tblCellMar>
        </w:tblPrEx>
        <w:trPr>
          <w:trHeight w:val="214" w:hRule="atLeast"/>
          <w:jc w:val="center"/>
        </w:trPr>
        <w:tc>
          <w:tcPr>
            <w:tcW w:w="1096"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Arial"/>
                <w:color w:val="000000"/>
                <w:kern w:val="0"/>
                <w:sz w:val="32"/>
                <w:szCs w:val="32"/>
              </w:rPr>
            </w:pPr>
          </w:p>
        </w:tc>
        <w:tc>
          <w:tcPr>
            <w:tcW w:w="10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时效</w:t>
            </w:r>
          </w:p>
        </w:tc>
        <w:tc>
          <w:tcPr>
            <w:tcW w:w="2677"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年底完成</w:t>
            </w:r>
          </w:p>
        </w:tc>
        <w:tc>
          <w:tcPr>
            <w:tcW w:w="2076"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10</w:t>
            </w:r>
          </w:p>
        </w:tc>
      </w:tr>
      <w:tr>
        <w:tblPrEx>
          <w:tblCellMar>
            <w:top w:w="0" w:type="dxa"/>
            <w:left w:w="108" w:type="dxa"/>
            <w:bottom w:w="0" w:type="dxa"/>
            <w:right w:w="108" w:type="dxa"/>
          </w:tblCellMar>
        </w:tblPrEx>
        <w:trPr>
          <w:trHeight w:val="214" w:hRule="atLeast"/>
          <w:jc w:val="center"/>
        </w:trPr>
        <w:tc>
          <w:tcPr>
            <w:tcW w:w="1096"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Arial"/>
                <w:color w:val="000000"/>
                <w:kern w:val="0"/>
                <w:sz w:val="32"/>
                <w:szCs w:val="32"/>
              </w:rPr>
            </w:pPr>
          </w:p>
        </w:tc>
        <w:tc>
          <w:tcPr>
            <w:tcW w:w="10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成本</w:t>
            </w:r>
          </w:p>
        </w:tc>
        <w:tc>
          <w:tcPr>
            <w:tcW w:w="2677"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完成率</w:t>
            </w:r>
          </w:p>
        </w:tc>
        <w:tc>
          <w:tcPr>
            <w:tcW w:w="2076"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10</w:t>
            </w:r>
          </w:p>
        </w:tc>
      </w:tr>
      <w:tr>
        <w:tblPrEx>
          <w:tblCellMar>
            <w:top w:w="0" w:type="dxa"/>
            <w:left w:w="108" w:type="dxa"/>
            <w:bottom w:w="0" w:type="dxa"/>
            <w:right w:w="108" w:type="dxa"/>
          </w:tblCellMar>
        </w:tblPrEx>
        <w:trPr>
          <w:trHeight w:val="214" w:hRule="atLeast"/>
          <w:jc w:val="center"/>
        </w:trPr>
        <w:tc>
          <w:tcPr>
            <w:tcW w:w="1096"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效益指标</w:t>
            </w:r>
          </w:p>
        </w:tc>
        <w:tc>
          <w:tcPr>
            <w:tcW w:w="1096"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社会效益</w:t>
            </w:r>
          </w:p>
        </w:tc>
        <w:tc>
          <w:tcPr>
            <w:tcW w:w="2677"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1.国民经济计划</w:t>
            </w:r>
          </w:p>
        </w:tc>
        <w:tc>
          <w:tcPr>
            <w:tcW w:w="2076"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10</w:t>
            </w:r>
          </w:p>
        </w:tc>
      </w:tr>
      <w:tr>
        <w:tblPrEx>
          <w:tblCellMar>
            <w:top w:w="0" w:type="dxa"/>
            <w:left w:w="108" w:type="dxa"/>
            <w:bottom w:w="0" w:type="dxa"/>
            <w:right w:w="108" w:type="dxa"/>
          </w:tblCellMar>
        </w:tblPrEx>
        <w:trPr>
          <w:trHeight w:val="214" w:hRule="atLeast"/>
          <w:jc w:val="center"/>
        </w:trPr>
        <w:tc>
          <w:tcPr>
            <w:tcW w:w="1096"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Arial"/>
                <w:color w:val="000000"/>
                <w:kern w:val="0"/>
                <w:sz w:val="32"/>
                <w:szCs w:val="32"/>
              </w:rPr>
            </w:pPr>
          </w:p>
        </w:tc>
        <w:tc>
          <w:tcPr>
            <w:tcW w:w="1096" w:type="dxa"/>
            <w:vMerge w:val="continue"/>
            <w:tcBorders>
              <w:top w:val="nil"/>
              <w:left w:val="single" w:color="auto" w:sz="4" w:space="0"/>
              <w:bottom w:val="single" w:color="auto" w:sz="4" w:space="0"/>
              <w:right w:val="single" w:color="auto" w:sz="4" w:space="0"/>
            </w:tcBorders>
            <w:vAlign w:val="center"/>
          </w:tcPr>
          <w:p>
            <w:pPr>
              <w:jc w:val="center"/>
              <w:rPr>
                <w:rFonts w:ascii="仿宋" w:hAnsi="仿宋" w:eastAsia="仿宋" w:cs="Arial"/>
                <w:kern w:val="0"/>
                <w:sz w:val="32"/>
                <w:szCs w:val="32"/>
              </w:rPr>
            </w:pPr>
          </w:p>
        </w:tc>
        <w:tc>
          <w:tcPr>
            <w:tcW w:w="2677"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2.规划评估</w:t>
            </w:r>
          </w:p>
        </w:tc>
        <w:tc>
          <w:tcPr>
            <w:tcW w:w="2076"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5</w:t>
            </w:r>
          </w:p>
        </w:tc>
      </w:tr>
      <w:tr>
        <w:tblPrEx>
          <w:tblCellMar>
            <w:top w:w="0" w:type="dxa"/>
            <w:left w:w="108" w:type="dxa"/>
            <w:bottom w:w="0" w:type="dxa"/>
            <w:right w:w="108" w:type="dxa"/>
          </w:tblCellMar>
        </w:tblPrEx>
        <w:trPr>
          <w:trHeight w:val="214" w:hRule="atLeast"/>
          <w:jc w:val="center"/>
        </w:trPr>
        <w:tc>
          <w:tcPr>
            <w:tcW w:w="1096"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Arial"/>
                <w:color w:val="000000"/>
                <w:kern w:val="0"/>
                <w:sz w:val="32"/>
                <w:szCs w:val="32"/>
              </w:rPr>
            </w:pPr>
          </w:p>
        </w:tc>
        <w:tc>
          <w:tcPr>
            <w:tcW w:w="1096"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可持续影响</w:t>
            </w:r>
          </w:p>
        </w:tc>
        <w:tc>
          <w:tcPr>
            <w:tcW w:w="2677"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社会满意度</w:t>
            </w:r>
          </w:p>
        </w:tc>
        <w:tc>
          <w:tcPr>
            <w:tcW w:w="2076"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10</w:t>
            </w:r>
          </w:p>
        </w:tc>
      </w:tr>
      <w:tr>
        <w:tblPrEx>
          <w:tblCellMar>
            <w:top w:w="0" w:type="dxa"/>
            <w:left w:w="108" w:type="dxa"/>
            <w:bottom w:w="0" w:type="dxa"/>
            <w:right w:w="108" w:type="dxa"/>
          </w:tblCellMar>
        </w:tblPrEx>
        <w:trPr>
          <w:trHeight w:val="214" w:hRule="atLeast"/>
          <w:jc w:val="center"/>
        </w:trPr>
        <w:tc>
          <w:tcPr>
            <w:tcW w:w="1096"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满意度</w:t>
            </w:r>
          </w:p>
        </w:tc>
        <w:tc>
          <w:tcPr>
            <w:tcW w:w="1096"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满意度</w:t>
            </w:r>
          </w:p>
        </w:tc>
        <w:tc>
          <w:tcPr>
            <w:tcW w:w="2677"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kern w:val="0"/>
                <w:sz w:val="32"/>
                <w:szCs w:val="32"/>
              </w:rPr>
            </w:pPr>
            <w:r>
              <w:rPr>
                <w:rFonts w:hint="eastAsia" w:ascii="宋体" w:hAnsi="宋体" w:eastAsia="宋体" w:cs="宋体"/>
                <w:i w:val="0"/>
                <w:iCs w:val="0"/>
                <w:color w:val="000000"/>
                <w:kern w:val="0"/>
                <w:sz w:val="24"/>
                <w:szCs w:val="24"/>
                <w:u w:val="none"/>
                <w:lang w:val="en-US" w:eastAsia="zh-CN" w:bidi="ar"/>
              </w:rPr>
              <w:t>满意度</w:t>
            </w:r>
          </w:p>
        </w:tc>
        <w:tc>
          <w:tcPr>
            <w:tcW w:w="2076" w:type="dxa"/>
            <w:tcBorders>
              <w:top w:val="single" w:color="auto" w:sz="4" w:space="0"/>
              <w:left w:val="nil"/>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仿宋" w:hAnsi="仿宋" w:eastAsia="仿宋" w:cs="Arial"/>
                <w:color w:val="000000"/>
                <w:kern w:val="0"/>
                <w:sz w:val="32"/>
                <w:szCs w:val="32"/>
              </w:rPr>
            </w:pPr>
            <w:r>
              <w:rPr>
                <w:rFonts w:hint="eastAsia" w:ascii="宋体" w:hAnsi="宋体" w:eastAsia="宋体" w:cs="宋体"/>
                <w:i w:val="0"/>
                <w:iCs w:val="0"/>
                <w:color w:val="000000"/>
                <w:kern w:val="0"/>
                <w:sz w:val="24"/>
                <w:szCs w:val="24"/>
                <w:u w:val="none"/>
                <w:lang w:val="en-US" w:eastAsia="zh-CN" w:bidi="ar"/>
              </w:rPr>
              <w:t>15</w:t>
            </w:r>
          </w:p>
        </w:tc>
      </w:tr>
      <w:tr>
        <w:tblPrEx>
          <w:tblCellMar>
            <w:top w:w="0" w:type="dxa"/>
            <w:left w:w="108" w:type="dxa"/>
            <w:bottom w:w="0" w:type="dxa"/>
            <w:right w:w="108" w:type="dxa"/>
          </w:tblCellMar>
        </w:tblPrEx>
        <w:trPr>
          <w:trHeight w:val="214" w:hRule="atLeast"/>
          <w:jc w:val="center"/>
        </w:trPr>
        <w:tc>
          <w:tcPr>
            <w:tcW w:w="1096" w:type="dxa"/>
            <w:vMerge w:val="continue"/>
            <w:tcBorders>
              <w:top w:val="nil"/>
              <w:left w:val="single" w:color="auto" w:sz="4" w:space="0"/>
              <w:bottom w:val="single" w:color="auto" w:sz="4" w:space="0"/>
              <w:right w:val="single" w:color="auto" w:sz="4" w:space="0"/>
            </w:tcBorders>
            <w:vAlign w:val="center"/>
          </w:tcPr>
          <w:p>
            <w:pPr>
              <w:rPr>
                <w:rFonts w:ascii="仿宋" w:hAnsi="仿宋" w:eastAsia="仿宋" w:cs="Arial"/>
                <w:color w:val="000000"/>
                <w:kern w:val="0"/>
                <w:sz w:val="32"/>
                <w:szCs w:val="32"/>
              </w:rPr>
            </w:pPr>
          </w:p>
        </w:tc>
        <w:tc>
          <w:tcPr>
            <w:tcW w:w="1096" w:type="dxa"/>
            <w:vMerge w:val="continue"/>
            <w:tcBorders>
              <w:top w:val="nil"/>
              <w:left w:val="single" w:color="auto" w:sz="4" w:space="0"/>
              <w:bottom w:val="single" w:color="auto" w:sz="4" w:space="0"/>
              <w:right w:val="single" w:color="auto" w:sz="4" w:space="0"/>
            </w:tcBorders>
            <w:vAlign w:val="center"/>
          </w:tcPr>
          <w:p>
            <w:pPr>
              <w:jc w:val="center"/>
              <w:rPr>
                <w:rFonts w:ascii="仿宋" w:hAnsi="仿宋" w:eastAsia="仿宋" w:cs="Arial"/>
                <w:kern w:val="0"/>
                <w:sz w:val="32"/>
                <w:szCs w:val="32"/>
              </w:rPr>
            </w:pPr>
          </w:p>
        </w:tc>
        <w:tc>
          <w:tcPr>
            <w:tcW w:w="2677" w:type="dxa"/>
            <w:tcBorders>
              <w:top w:val="single" w:color="auto" w:sz="4" w:space="0"/>
              <w:left w:val="nil"/>
              <w:bottom w:val="single" w:color="auto" w:sz="4" w:space="0"/>
              <w:right w:val="single" w:color="000000" w:sz="4" w:space="0"/>
            </w:tcBorders>
            <w:shd w:val="clear" w:color="auto" w:fill="auto"/>
            <w:vAlign w:val="center"/>
          </w:tcPr>
          <w:p>
            <w:pPr>
              <w:jc w:val="center"/>
              <w:rPr>
                <w:rFonts w:ascii="仿宋" w:hAnsi="仿宋" w:eastAsia="仿宋" w:cs="Arial"/>
                <w:kern w:val="0"/>
                <w:sz w:val="32"/>
                <w:szCs w:val="32"/>
              </w:rPr>
            </w:pPr>
          </w:p>
        </w:tc>
        <w:tc>
          <w:tcPr>
            <w:tcW w:w="2076" w:type="dxa"/>
            <w:tcBorders>
              <w:top w:val="single" w:color="auto" w:sz="4" w:space="0"/>
              <w:left w:val="nil"/>
              <w:bottom w:val="single" w:color="auto" w:sz="4" w:space="0"/>
              <w:right w:val="single" w:color="000000" w:sz="4" w:space="0"/>
            </w:tcBorders>
            <w:shd w:val="clear" w:color="auto" w:fill="auto"/>
            <w:vAlign w:val="center"/>
          </w:tcPr>
          <w:p>
            <w:pPr>
              <w:jc w:val="center"/>
              <w:rPr>
                <w:rFonts w:ascii="仿宋" w:hAnsi="仿宋" w:eastAsia="仿宋" w:cs="Arial"/>
                <w:color w:val="000000"/>
                <w:kern w:val="0"/>
                <w:sz w:val="32"/>
                <w:szCs w:val="32"/>
              </w:rPr>
            </w:pPr>
          </w:p>
        </w:tc>
      </w:tr>
    </w:tbl>
    <w:p>
      <w:pPr>
        <w:widowControl/>
        <w:spacing w:line="600" w:lineRule="exact"/>
        <w:ind w:firstLine="640"/>
        <w:jc w:val="left"/>
        <w:rPr>
          <w:rFonts w:ascii="仿宋" w:hAnsi="仿宋" w:eastAsia="仿宋" w:cs="宋体"/>
          <w:b/>
          <w:color w:val="000000"/>
          <w:kern w:val="0"/>
          <w:sz w:val="32"/>
          <w:szCs w:val="32"/>
        </w:rPr>
      </w:pPr>
    </w:p>
    <w:p>
      <w:pPr>
        <w:spacing w:line="576" w:lineRule="exact"/>
        <w:ind w:firstLine="560" w:firstLineChars="200"/>
        <w:jc w:val="left"/>
        <w:rPr>
          <w:rFonts w:hint="eastAsia" w:ascii="黑体" w:hAnsi="黑体" w:eastAsia="黑体"/>
          <w:sz w:val="28"/>
          <w:szCs w:val="28"/>
          <w:lang w:val="en-US" w:eastAsia="zh-CN"/>
        </w:rPr>
      </w:pPr>
      <w:r>
        <w:rPr>
          <w:rFonts w:hint="eastAsia" w:ascii="黑体" w:hAnsi="黑体" w:eastAsia="黑体"/>
          <w:sz w:val="28"/>
          <w:szCs w:val="28"/>
          <w:lang w:val="en-US" w:eastAsia="zh-CN"/>
        </w:rPr>
        <w:t>二、2022年“三公”经费预算说明情况</w:t>
      </w:r>
    </w:p>
    <w:p>
      <w:pPr>
        <w:widowControl/>
        <w:spacing w:line="600" w:lineRule="exact"/>
        <w:ind w:firstLine="640"/>
        <w:jc w:val="left"/>
        <w:rPr>
          <w:rFonts w:ascii="仿宋" w:hAnsi="仿宋" w:eastAsia="仿宋"/>
          <w:color w:val="000000"/>
          <w:sz w:val="32"/>
          <w:szCs w:val="32"/>
        </w:rPr>
      </w:pPr>
      <w:r>
        <w:rPr>
          <w:rFonts w:hint="eastAsia" w:ascii="仿宋_GB2312" w:hAnsi="宋体" w:eastAsia="仿宋_GB2312"/>
          <w:color w:val="auto"/>
          <w:sz w:val="32"/>
          <w:szCs w:val="32"/>
          <w:shd w:val="clear" w:color="auto" w:fill="FFFFFF"/>
          <w:lang w:val="en-US" w:eastAsia="zh-CN"/>
        </w:rPr>
        <w:t>2022年</w:t>
      </w:r>
      <w:r>
        <w:rPr>
          <w:rFonts w:hint="eastAsia" w:ascii="仿宋_GB2312" w:hAnsi="宋体" w:eastAsia="仿宋_GB2312" w:cs="Times New Roman"/>
          <w:color w:val="000000"/>
          <w:sz w:val="32"/>
          <w:szCs w:val="32"/>
          <w:shd w:val="clear" w:color="auto" w:fill="FFFFFF"/>
          <w:lang w:val="en-US" w:eastAsia="zh-CN"/>
        </w:rPr>
        <w:t>安义县发展和改革委员会</w:t>
      </w:r>
      <w:r>
        <w:rPr>
          <w:rFonts w:hint="eastAsia" w:ascii="仿宋_GB2312" w:hAnsi="宋体" w:eastAsia="仿宋_GB2312"/>
          <w:color w:val="auto"/>
          <w:sz w:val="32"/>
          <w:szCs w:val="32"/>
          <w:shd w:val="clear" w:color="auto" w:fill="FFFFFF"/>
          <w:lang w:val="en-US" w:eastAsia="zh-CN"/>
        </w:rPr>
        <w:t>“三公”经费预算合计5.4万元，其中:</w:t>
      </w:r>
      <w:r>
        <w:rPr>
          <w:rFonts w:hint="eastAsia" w:ascii="仿宋" w:hAnsi="仿宋" w:eastAsia="仿宋"/>
          <w:color w:val="000000"/>
          <w:sz w:val="32"/>
          <w:szCs w:val="32"/>
        </w:rPr>
        <w:t xml:space="preserve">其中： </w:t>
      </w:r>
    </w:p>
    <w:p>
      <w:pPr>
        <w:widowControl/>
        <w:spacing w:line="360" w:lineRule="auto"/>
        <w:ind w:firstLine="640"/>
        <w:rPr>
          <w:rFonts w:ascii="仿宋" w:hAnsi="仿宋" w:eastAsia="仿宋"/>
          <w:color w:val="000000"/>
          <w:sz w:val="32"/>
          <w:szCs w:val="30"/>
        </w:rPr>
      </w:pPr>
      <w:r>
        <w:rPr>
          <w:rFonts w:hint="eastAsia" w:ascii="仿宋" w:hAnsi="仿宋" w:eastAsia="仿宋"/>
          <w:color w:val="000000"/>
          <w:sz w:val="32"/>
          <w:szCs w:val="30"/>
        </w:rPr>
        <w:t>因公出国（境）费0万元，比上年增（减）0万元，主要原因是：无。</w:t>
      </w:r>
    </w:p>
    <w:p>
      <w:pPr>
        <w:widowControl/>
        <w:spacing w:line="360" w:lineRule="auto"/>
        <w:ind w:firstLine="640"/>
        <w:rPr>
          <w:rFonts w:ascii="仿宋" w:hAnsi="仿宋" w:eastAsia="仿宋"/>
          <w:color w:val="000000"/>
          <w:sz w:val="32"/>
          <w:szCs w:val="30"/>
        </w:rPr>
      </w:pPr>
      <w:r>
        <w:rPr>
          <w:rFonts w:hint="eastAsia" w:ascii="仿宋" w:hAnsi="仿宋" w:eastAsia="仿宋"/>
          <w:color w:val="000000"/>
          <w:sz w:val="32"/>
          <w:szCs w:val="30"/>
        </w:rPr>
        <w:t>公务接待费</w:t>
      </w:r>
      <w:r>
        <w:rPr>
          <w:rFonts w:hint="eastAsia" w:ascii="仿宋" w:hAnsi="仿宋" w:eastAsia="仿宋"/>
          <w:color w:val="000000"/>
          <w:sz w:val="32"/>
          <w:szCs w:val="32"/>
          <w:lang w:val="en-US" w:eastAsia="zh-CN"/>
        </w:rPr>
        <w:t>5.4</w:t>
      </w:r>
      <w:r>
        <w:rPr>
          <w:rFonts w:hint="eastAsia" w:ascii="仿宋" w:hAnsi="仿宋" w:eastAsia="仿宋"/>
          <w:color w:val="000000"/>
          <w:sz w:val="32"/>
          <w:szCs w:val="30"/>
        </w:rPr>
        <w:t>万元，比上年增（减）0万元，主要原因是：</w:t>
      </w:r>
      <w:r>
        <w:rPr>
          <w:rFonts w:hint="eastAsia" w:ascii="仿宋" w:hAnsi="仿宋" w:eastAsia="仿宋"/>
          <w:color w:val="000000"/>
          <w:sz w:val="32"/>
          <w:szCs w:val="32"/>
        </w:rPr>
        <w:t>无变化</w:t>
      </w:r>
      <w:r>
        <w:rPr>
          <w:rFonts w:hint="eastAsia" w:ascii="仿宋" w:hAnsi="仿宋" w:eastAsia="仿宋"/>
          <w:color w:val="000000"/>
          <w:sz w:val="32"/>
          <w:szCs w:val="30"/>
        </w:rPr>
        <w:t>。</w:t>
      </w:r>
    </w:p>
    <w:p>
      <w:pPr>
        <w:widowControl/>
        <w:spacing w:line="600" w:lineRule="exact"/>
        <w:ind w:firstLine="640"/>
        <w:jc w:val="left"/>
        <w:rPr>
          <w:rFonts w:ascii="仿宋" w:hAnsi="仿宋" w:eastAsia="仿宋"/>
          <w:color w:val="000000"/>
          <w:sz w:val="32"/>
          <w:szCs w:val="32"/>
        </w:rPr>
      </w:pPr>
      <w:r>
        <w:rPr>
          <w:rFonts w:hint="eastAsia" w:ascii="仿宋" w:hAnsi="仿宋" w:eastAsia="仿宋"/>
          <w:color w:val="000000"/>
          <w:sz w:val="32"/>
          <w:szCs w:val="32"/>
        </w:rPr>
        <w:t>公务用车运行维护费</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万元，比上年增（减）0万元，主要原因是：无。</w:t>
      </w:r>
    </w:p>
    <w:p>
      <w:pPr>
        <w:widowControl/>
        <w:spacing w:line="360" w:lineRule="auto"/>
        <w:ind w:firstLine="640"/>
        <w:rPr>
          <w:rFonts w:ascii="仿宋" w:hAnsi="仿宋" w:eastAsia="仿宋"/>
          <w:b/>
          <w:color w:val="000000"/>
          <w:sz w:val="32"/>
          <w:szCs w:val="30"/>
        </w:rPr>
      </w:pPr>
      <w:r>
        <w:rPr>
          <w:rFonts w:hint="eastAsia" w:ascii="仿宋" w:hAnsi="仿宋" w:eastAsia="仿宋"/>
          <w:color w:val="000000"/>
          <w:sz w:val="32"/>
          <w:szCs w:val="30"/>
        </w:rPr>
        <w:t>公务用车购置费0万元，比上年增（减）0万元，主要原因是：</w:t>
      </w:r>
      <w:r>
        <w:rPr>
          <w:rFonts w:hint="eastAsia" w:ascii="仿宋" w:hAnsi="仿宋" w:eastAsia="仿宋"/>
          <w:color w:val="000000"/>
          <w:sz w:val="32"/>
          <w:szCs w:val="32"/>
        </w:rPr>
        <w:t>无</w:t>
      </w:r>
      <w:r>
        <w:rPr>
          <w:rFonts w:hint="eastAsia" w:ascii="仿宋" w:hAnsi="仿宋" w:eastAsia="仿宋"/>
          <w:color w:val="000000"/>
          <w:sz w:val="32"/>
          <w:szCs w:val="30"/>
        </w:rPr>
        <w:t>。</w:t>
      </w:r>
    </w:p>
    <w:p>
      <w:pPr>
        <w:spacing w:line="576" w:lineRule="exact"/>
        <w:ind w:firstLine="640" w:firstLineChars="200"/>
        <w:jc w:val="left"/>
        <w:rPr>
          <w:rFonts w:hint="eastAsia" w:ascii="仿宋_GB2312" w:hAnsi="宋体" w:eastAsia="仿宋_GB2312"/>
          <w:color w:val="auto"/>
          <w:sz w:val="32"/>
          <w:szCs w:val="32"/>
          <w:shd w:val="clear" w:color="auto" w:fill="FFFFFF"/>
          <w:lang w:val="en-US" w:eastAsia="zh-CN"/>
        </w:rPr>
      </w:pPr>
    </w:p>
    <w:p>
      <w:pPr>
        <w:pStyle w:val="2"/>
        <w:rPr>
          <w:rFonts w:hint="eastAsia"/>
          <w:lang w:val="en-US" w:eastAsia="zh-CN"/>
        </w:rPr>
      </w:pPr>
    </w:p>
    <w:p>
      <w:pPr>
        <w:widowControl/>
        <w:spacing w:line="576" w:lineRule="exact"/>
        <w:ind w:firstLine="640" w:firstLineChars="200"/>
        <w:jc w:val="center"/>
        <w:rPr>
          <w:rFonts w:hint="eastAsia" w:ascii="黑体" w:hAnsi="宋体" w:eastAsia="黑体"/>
          <w:sz w:val="32"/>
          <w:szCs w:val="32"/>
          <w:lang w:eastAsia="zh-CN"/>
        </w:rPr>
      </w:pPr>
      <w:r>
        <w:rPr>
          <w:rFonts w:hint="eastAsia" w:ascii="黑体" w:hAnsi="宋体" w:eastAsia="黑体"/>
          <w:sz w:val="32"/>
          <w:szCs w:val="32"/>
        </w:rPr>
        <w:t>第</w:t>
      </w:r>
      <w:r>
        <w:rPr>
          <w:rFonts w:hint="eastAsia" w:ascii="黑体" w:hAnsi="宋体" w:eastAsia="黑体"/>
          <w:sz w:val="32"/>
          <w:szCs w:val="32"/>
          <w:lang w:val="en-US" w:eastAsia="zh-CN"/>
        </w:rPr>
        <w:t>四</w:t>
      </w:r>
      <w:r>
        <w:rPr>
          <w:rFonts w:hint="eastAsia" w:ascii="黑体" w:hAnsi="宋体" w:eastAsia="黑体"/>
          <w:sz w:val="32"/>
          <w:szCs w:val="32"/>
        </w:rPr>
        <w:t>部分：</w:t>
      </w:r>
      <w:r>
        <w:rPr>
          <w:rFonts w:hint="eastAsia" w:ascii="黑体" w:hAnsi="宋体" w:eastAsia="黑体"/>
          <w:sz w:val="32"/>
          <w:szCs w:val="32"/>
          <w:lang w:eastAsia="zh-CN"/>
        </w:rPr>
        <w:t>名词解释</w:t>
      </w:r>
    </w:p>
    <w:p>
      <w:pPr>
        <w:pStyle w:val="2"/>
        <w:rPr>
          <w:rFonts w:hint="eastAsia"/>
          <w:vertAlign w:val="subscript"/>
          <w:lang w:eastAsia="zh-CN"/>
        </w:rPr>
      </w:pPr>
    </w:p>
    <w:p>
      <w:pPr>
        <w:widowControl/>
        <w:spacing w:line="600" w:lineRule="exact"/>
        <w:ind w:firstLine="640"/>
        <w:jc w:val="left"/>
        <w:rPr>
          <w:rFonts w:ascii="仿宋" w:hAnsi="仿宋" w:eastAsia="仿宋"/>
          <w:color w:val="000000"/>
          <w:sz w:val="32"/>
          <w:szCs w:val="32"/>
        </w:rPr>
      </w:pPr>
      <w:r>
        <w:rPr>
          <w:rFonts w:hint="eastAsia" w:ascii="仿宋" w:hAnsi="仿宋" w:eastAsia="仿宋"/>
          <w:color w:val="000000"/>
          <w:sz w:val="32"/>
          <w:szCs w:val="32"/>
        </w:rPr>
        <w:t>一、收入科目</w:t>
      </w:r>
    </w:p>
    <w:p>
      <w:pPr>
        <w:widowControl/>
        <w:spacing w:line="600" w:lineRule="exact"/>
        <w:ind w:firstLine="640"/>
        <w:jc w:val="left"/>
        <w:rPr>
          <w:rFonts w:ascii="仿宋" w:hAnsi="仿宋" w:eastAsia="仿宋"/>
          <w:color w:val="000000"/>
          <w:sz w:val="32"/>
          <w:szCs w:val="32"/>
        </w:rPr>
      </w:pPr>
      <w:r>
        <w:rPr>
          <w:rFonts w:hint="eastAsia" w:ascii="仿宋" w:hAnsi="仿宋" w:eastAsia="仿宋"/>
          <w:color w:val="000000"/>
          <w:sz w:val="32"/>
          <w:szCs w:val="32"/>
        </w:rPr>
        <w:t>各部门结合实际进行解释。</w:t>
      </w:r>
    </w:p>
    <w:p>
      <w:pPr>
        <w:widowControl/>
        <w:numPr>
          <w:ilvl w:val="0"/>
          <w:numId w:val="2"/>
        </w:numPr>
        <w:spacing w:line="600" w:lineRule="exact"/>
        <w:ind w:firstLine="640"/>
        <w:jc w:val="left"/>
        <w:rPr>
          <w:rFonts w:ascii="仿宋" w:hAnsi="仿宋" w:eastAsia="仿宋"/>
          <w:color w:val="000000"/>
          <w:sz w:val="32"/>
          <w:szCs w:val="32"/>
        </w:rPr>
      </w:pPr>
      <w:r>
        <w:rPr>
          <w:rFonts w:hint="eastAsia" w:ascii="仿宋" w:hAnsi="仿宋" w:eastAsia="仿宋"/>
          <w:color w:val="000000"/>
          <w:sz w:val="32"/>
          <w:szCs w:val="32"/>
        </w:rPr>
        <w:t>财政拨款：指财政当年拨付的资金。</w:t>
      </w:r>
    </w:p>
    <w:p>
      <w:pPr>
        <w:widowControl/>
        <w:numPr>
          <w:ilvl w:val="0"/>
          <w:numId w:val="2"/>
        </w:numPr>
        <w:spacing w:line="600" w:lineRule="exact"/>
        <w:ind w:firstLine="640"/>
        <w:jc w:val="left"/>
        <w:rPr>
          <w:rFonts w:ascii="仿宋" w:hAnsi="仿宋" w:eastAsia="仿宋"/>
          <w:color w:val="000000"/>
          <w:sz w:val="32"/>
          <w:szCs w:val="32"/>
        </w:rPr>
      </w:pPr>
      <w:r>
        <w:rPr>
          <w:rFonts w:hint="eastAsia" w:ascii="仿宋" w:hAnsi="仿宋" w:eastAsia="仿宋"/>
          <w:color w:val="000000"/>
          <w:sz w:val="32"/>
          <w:szCs w:val="32"/>
        </w:rPr>
        <w:t>教育收费资金收入：反映实行专项管理的高中以上学费、住宿费，高校委托培养费，函大、电大、夜大及短训班培训费等教育收费取得的收入。</w:t>
      </w:r>
    </w:p>
    <w:p>
      <w:pPr>
        <w:widowControl/>
        <w:spacing w:line="600" w:lineRule="exact"/>
        <w:ind w:firstLine="636"/>
        <w:jc w:val="left"/>
        <w:rPr>
          <w:rFonts w:ascii="仿宋" w:hAnsi="仿宋" w:eastAsia="仿宋"/>
          <w:color w:val="000000"/>
          <w:sz w:val="32"/>
          <w:szCs w:val="32"/>
        </w:rPr>
      </w:pPr>
      <w:r>
        <w:rPr>
          <w:rFonts w:hint="eastAsia" w:ascii="仿宋" w:hAnsi="仿宋" w:eastAsia="仿宋"/>
          <w:color w:val="000000"/>
          <w:sz w:val="32"/>
          <w:szCs w:val="32"/>
        </w:rPr>
        <w:t>（三）事业收入：指事业单位开展专业业务活动及辅助活动取得的收入。</w:t>
      </w:r>
    </w:p>
    <w:p>
      <w:pPr>
        <w:widowControl/>
        <w:spacing w:line="600" w:lineRule="exact"/>
        <w:ind w:firstLine="636"/>
        <w:jc w:val="left"/>
        <w:rPr>
          <w:rFonts w:ascii="仿宋" w:hAnsi="仿宋" w:eastAsia="仿宋"/>
          <w:color w:val="000000"/>
          <w:sz w:val="32"/>
          <w:szCs w:val="32"/>
        </w:rPr>
      </w:pPr>
      <w:r>
        <w:rPr>
          <w:rFonts w:hint="eastAsia" w:ascii="仿宋" w:hAnsi="仿宋" w:eastAsia="仿宋"/>
          <w:color w:val="000000"/>
          <w:sz w:val="32"/>
          <w:szCs w:val="32"/>
        </w:rPr>
        <w:t>（四）事业单位经营收入：指事业单位在专业业务活动及辅助活动之外开展非独立核算经营活动取得的收入。</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（五）附属单位上缴收入：反映事业单位附属的独立核算单位按规定标准或比例缴纳的各项收入。包括附属的事业单位上缴的收入和附属的企业上缴的利润等。</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（六）上级补助收入：反映事业单位从主管部门和上级单位取得的非财政补助收入。</w:t>
      </w:r>
    </w:p>
    <w:p>
      <w:pPr>
        <w:widowControl/>
        <w:spacing w:line="600" w:lineRule="exact"/>
        <w:ind w:firstLine="636"/>
        <w:jc w:val="left"/>
        <w:rPr>
          <w:rFonts w:ascii="仿宋" w:hAnsi="仿宋" w:eastAsia="仿宋"/>
          <w:color w:val="000000"/>
          <w:sz w:val="32"/>
          <w:szCs w:val="32"/>
        </w:rPr>
      </w:pPr>
      <w:r>
        <w:rPr>
          <w:rFonts w:hint="eastAsia" w:ascii="仿宋" w:hAnsi="仿宋" w:eastAsia="仿宋"/>
          <w:color w:val="000000"/>
          <w:sz w:val="32"/>
          <w:szCs w:val="32"/>
        </w:rPr>
        <w:t>（七）其他收入：指除财政拨款、事业收入、事业单位经营收入等以外的各项收入。</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（八）使用非财政拨款结余：填列历年滚存的非限定用途的非统计财政拨款结余弥补2022年收支差额的数额。</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（九）上年结转和结余：填列2021年全部结转和结余的资金数，包括当年结转结余资金和历年滚存结转结余资金。</w:t>
      </w:r>
    </w:p>
    <w:p>
      <w:pPr>
        <w:ind w:firstLine="640" w:firstLineChars="200"/>
        <w:rPr>
          <w:rFonts w:hint="eastAsia" w:ascii="仿宋_GB2312" w:hAnsi="宋体" w:eastAsia="仿宋_GB2312"/>
          <w:color w:val="000000"/>
          <w:sz w:val="32"/>
          <w:szCs w:val="32"/>
          <w:shd w:val="clear" w:color="auto" w:fill="FFFFFF"/>
          <w:lang w:val="en-US" w:eastAsia="zh-CN"/>
        </w:rPr>
      </w:pPr>
    </w:p>
    <w:sectPr>
      <w:footerReference r:id="rId3" w:type="default"/>
      <w:pgSz w:w="11906" w:h="16838"/>
      <w:pgMar w:top="1418" w:right="1701" w:bottom="1418"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6"/>
      </w:rPr>
    </w:pPr>
    <w:r>
      <w:fldChar w:fldCharType="begin"/>
    </w:r>
    <w:r>
      <w:rPr>
        <w:rStyle w:val="6"/>
      </w:rPr>
      <w:instrText xml:space="preserve">PAGE  </w:instrText>
    </w:r>
    <w:r>
      <w:fldChar w:fldCharType="separate"/>
    </w:r>
    <w:r>
      <w:rPr>
        <w:rStyle w:val="6"/>
      </w:rPr>
      <w:t>4</w:t>
    </w:r>
    <w:r>
      <w:fldChar w:fldCharType="end"/>
    </w:r>
  </w:p>
  <w:p>
    <w:pPr>
      <w:pStyle w:val="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6FE8EE"/>
    <w:multiLevelType w:val="singleLevel"/>
    <w:tmpl w:val="B76FE8EE"/>
    <w:lvl w:ilvl="0" w:tentative="0">
      <w:start w:val="1"/>
      <w:numFmt w:val="chineseCounting"/>
      <w:suff w:val="nothing"/>
      <w:lvlText w:val="%1、"/>
      <w:lvlJc w:val="left"/>
      <w:rPr>
        <w:rFonts w:hint="eastAsia"/>
      </w:rPr>
    </w:lvl>
  </w:abstractNum>
  <w:abstractNum w:abstractNumId="1">
    <w:nsid w:val="0000000A"/>
    <w:multiLevelType w:val="singleLevel"/>
    <w:tmpl w:val="0000000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1NjVjZmQ2MjI2M2E0MDI0NDFmNjUzMGY4NmJkYmQifQ=="/>
  </w:docVars>
  <w:rsids>
    <w:rsidRoot w:val="00172A27"/>
    <w:rsid w:val="022515CB"/>
    <w:rsid w:val="039570E6"/>
    <w:rsid w:val="059E2141"/>
    <w:rsid w:val="05F05CE8"/>
    <w:rsid w:val="061F5A10"/>
    <w:rsid w:val="07492634"/>
    <w:rsid w:val="09601C51"/>
    <w:rsid w:val="097019DF"/>
    <w:rsid w:val="0A28668E"/>
    <w:rsid w:val="0CF75865"/>
    <w:rsid w:val="0E9916E4"/>
    <w:rsid w:val="161025FD"/>
    <w:rsid w:val="19914A12"/>
    <w:rsid w:val="1DC019F5"/>
    <w:rsid w:val="21EC6212"/>
    <w:rsid w:val="220423A9"/>
    <w:rsid w:val="249B545C"/>
    <w:rsid w:val="2556689B"/>
    <w:rsid w:val="2A2071EB"/>
    <w:rsid w:val="2B44197D"/>
    <w:rsid w:val="397D3990"/>
    <w:rsid w:val="3BFE502D"/>
    <w:rsid w:val="3EFA1314"/>
    <w:rsid w:val="411D6F13"/>
    <w:rsid w:val="42D02DDD"/>
    <w:rsid w:val="45774198"/>
    <w:rsid w:val="47185003"/>
    <w:rsid w:val="49820A05"/>
    <w:rsid w:val="4DD3218A"/>
    <w:rsid w:val="4F8F1309"/>
    <w:rsid w:val="57BD000E"/>
    <w:rsid w:val="589F55E8"/>
    <w:rsid w:val="62DA17EF"/>
    <w:rsid w:val="65A2009C"/>
    <w:rsid w:val="732D1352"/>
    <w:rsid w:val="73C172E7"/>
    <w:rsid w:val="747A64CD"/>
    <w:rsid w:val="750914F2"/>
    <w:rsid w:val="75CE5DBE"/>
    <w:rsid w:val="7A13078E"/>
    <w:rsid w:val="7A3D60B5"/>
    <w:rsid w:val="7AE64C64"/>
    <w:rsid w:val="7C03173F"/>
    <w:rsid w:val="7C6735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footer"/>
    <w:basedOn w:val="1"/>
    <w:qFormat/>
    <w:uiPriority w:val="0"/>
    <w:pPr>
      <w:tabs>
        <w:tab w:val="center" w:pos="4153"/>
        <w:tab w:val="right" w:pos="8306"/>
      </w:tabs>
      <w:snapToGrid w:val="0"/>
      <w:jc w:val="left"/>
    </w:pPr>
    <w:rPr>
      <w:sz w:val="18"/>
      <w:szCs w:val="18"/>
    </w:rPr>
  </w:style>
  <w:style w:type="character" w:styleId="6">
    <w:name w:val="page number"/>
    <w:basedOn w:val="5"/>
    <w:qFormat/>
    <w:uiPriority w:val="0"/>
  </w:style>
  <w:style w:type="character" w:styleId="7">
    <w:name w:val="FollowedHyperlink"/>
    <w:basedOn w:val="5"/>
    <w:qFormat/>
    <w:uiPriority w:val="0"/>
    <w:rPr>
      <w:color w:val="333333"/>
      <w:u w:val="none"/>
    </w:rPr>
  </w:style>
  <w:style w:type="character" w:styleId="8">
    <w:name w:val="Emphasis"/>
    <w:basedOn w:val="5"/>
    <w:qFormat/>
    <w:uiPriority w:val="0"/>
    <w:rPr>
      <w:i/>
    </w:rPr>
  </w:style>
  <w:style w:type="character" w:styleId="9">
    <w:name w:val="HTML Acronym"/>
    <w:basedOn w:val="5"/>
    <w:qFormat/>
    <w:uiPriority w:val="0"/>
  </w:style>
  <w:style w:type="character" w:styleId="10">
    <w:name w:val="Hyperlink"/>
    <w:basedOn w:val="5"/>
    <w:qFormat/>
    <w:uiPriority w:val="0"/>
    <w:rPr>
      <w:color w:val="333333"/>
      <w:u w:val="none"/>
    </w:rPr>
  </w:style>
  <w:style w:type="character" w:customStyle="1" w:styleId="11">
    <w:name w:val="de_sl"/>
    <w:basedOn w:val="5"/>
    <w:qFormat/>
    <w:uiPriority w:val="0"/>
  </w:style>
  <w:style w:type="character" w:customStyle="1" w:styleId="12">
    <w:name w:val="datetime"/>
    <w:basedOn w:val="5"/>
    <w:qFormat/>
    <w:uiPriority w:val="0"/>
    <w:rPr>
      <w:rFonts w:hint="default" w:ascii="Arial" w:hAnsi="Arial" w:cs="Arial"/>
      <w:color w:val="999999"/>
      <w:sz w:val="21"/>
      <w:szCs w:val="21"/>
    </w:rPr>
  </w:style>
  <w:style w:type="character" w:customStyle="1" w:styleId="13">
    <w:name w:val="de_sr"/>
    <w:basedOn w:val="5"/>
    <w:qFormat/>
    <w:uiPriority w:val="0"/>
  </w:style>
  <w:style w:type="character" w:customStyle="1" w:styleId="14">
    <w:name w:val="positions"/>
    <w:basedOn w:val="5"/>
    <w:qFormat/>
    <w:uiPriority w:val="0"/>
    <w:rPr>
      <w:color w:val="999999"/>
      <w:sz w:val="21"/>
      <w:szCs w:val="21"/>
    </w:rPr>
  </w:style>
  <w:style w:type="character" w:customStyle="1" w:styleId="15">
    <w:name w:val="name"/>
    <w:basedOn w:val="5"/>
    <w:qFormat/>
    <w:uiPriority w:val="0"/>
    <w:rPr>
      <w:b/>
      <w:sz w:val="24"/>
      <w:szCs w:val="24"/>
    </w:rPr>
  </w:style>
  <w:style w:type="paragraph" w:customStyle="1" w:styleId="16">
    <w:name w:val="无间隔"/>
    <w:qFormat/>
    <w:uiPriority w:val="0"/>
    <w:rPr>
      <w:rFonts w:ascii="Calibri" w:hAnsi="Calibri" w:eastAsia="宋体"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1.emf"/><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3393</Words>
  <Characters>3683</Characters>
  <Lines>0</Lines>
  <Paragraphs>0</Paragraphs>
  <TotalTime>24</TotalTime>
  <ScaleCrop>false</ScaleCrop>
  <LinksUpToDate>false</LinksUpToDate>
  <CharactersWithSpaces>3751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lenovo11</dc:creator>
  <cp:lastModifiedBy>刘建瑜</cp:lastModifiedBy>
  <cp:lastPrinted>2016-12-30T07:48:00Z</cp:lastPrinted>
  <dcterms:modified xsi:type="dcterms:W3CDTF">2023-07-18T09:16:54Z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01212DDB314F489F8168AEC5B467DE75</vt:lpwstr>
  </property>
</Properties>
</file>